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vmi-20251227x10k.htm"/>
        <w:bookmarkStart w:id="1" w:name="ksvmi20251227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40" w:after="0"/>
        <w:ind w:left="0" w:right="0" w:hanging="0"/>
        <w:jc w:val="center"/>
        <w:rPr>
          <w:rFonts w:ascii="Times New Roman;Times;serif" w:hAnsi="Times New Roman;Times;serif"/>
          <w:b/>
          <w:sz w:val="20"/>
        </w:rPr>
      </w:pPr>
      <w:bookmarkStart w:id="2" w:name="_4ede45b0_d5a9_433b_ac34_9cabde6ff71b"/>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4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40"/>
        <w:ind w:left="0" w:right="0" w:hanging="0"/>
        <w:jc w:val="left"/>
        <w:rPr/>
      </w:pPr>
      <w:r>
        <w:rPr/>
        <w:t xml:space="preserve">☒ </w:t>
      </w:r>
      <w:r>
        <w:rPr>
          <w:rFonts w:ascii="Times New Roman;Times;serif" w:hAnsi="Times New Roman;Times;serif"/>
          <w:b/>
          <w:sz w:val="20"/>
        </w:rPr>
        <w:t>ANNUAL REPORT PURSUANT TO SECTION 13 OR 15(d) OF THE SECURITIES</w:t>
      </w:r>
      <w:r>
        <w:rPr>
          <w:rFonts w:ascii="Times New Roman;Times;serif" w:hAnsi="Times New Roman;Times;serif"/>
          <w:sz w:val="20"/>
        </w:rPr>
        <w:t xml:space="preserve"> </w:t>
      </w:r>
      <w:r>
        <w:rPr>
          <w:rFonts w:ascii="Times New Roman;Times;serif" w:hAnsi="Times New Roman;Times;serif"/>
          <w:b/>
          <w:sz w:val="20"/>
        </w:rPr>
        <w:t>EXCHANGE ACT OF 1934</w:t>
      </w:r>
    </w:p>
    <w:p>
      <w:pPr>
        <w:pStyle w:val="TextBody"/>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For the fiscal year ended December 27, 2025</w:t>
      </w:r>
    </w:p>
    <w:p>
      <w:pPr>
        <w:pStyle w:val="TextBody"/>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40"/>
        <w:ind w:left="0" w:right="0" w:hanging="0"/>
        <w:jc w:val="left"/>
        <w:rPr/>
      </w:pPr>
      <w:r>
        <w:rPr/>
        <w:t xml:space="preserve">☐ </w:t>
      </w:r>
      <w:r>
        <w:rPr>
          <w:rFonts w:ascii="Times New Roman;Times;serif" w:hAnsi="Times New Roman;Times;serif"/>
          <w:b/>
          <w:sz w:val="20"/>
        </w:rPr>
        <w:t>TRANSITION REPORT PURSUANT TO SECTION 13 OR 15(d) OF THE SECURITIES</w:t>
      </w:r>
      <w:r>
        <w:rPr>
          <w:rFonts w:ascii="Times New Roman;Times;serif" w:hAnsi="Times New Roman;Times;serif"/>
          <w:sz w:val="20"/>
        </w:rPr>
        <w:t xml:space="preserve"> </w:t>
      </w:r>
      <w:r>
        <w:rPr>
          <w:rFonts w:ascii="Times New Roman;Times;serif" w:hAnsi="Times New Roman;Times;serif"/>
          <w:b/>
          <w:sz w:val="20"/>
        </w:rPr>
        <w:t>EXCHANGE ACT OF 1934</w:t>
      </w:r>
    </w:p>
    <w:p>
      <w:pPr>
        <w:pStyle w:val="TextBody"/>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For the transition period from ______ to ______</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Commission file number 001-31429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Valmont Industries, Inc.</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ZGDnh2zYRUGcv4WmomHV7g_6_2"/>
      <w:bookmarkStart w:id="4" w:name="Tc_BMFLOVCCi0WBZGBT42zB9Q_6_0"/>
      <w:bookmarkStart w:id="5" w:name="Tc_BysLfMecMU-bZGmJxmWm9g_5_2"/>
      <w:bookmarkStart w:id="6" w:name="Tc_UGF72cLrPkWBeDrM8szh4w_5_0"/>
      <w:bookmarkStart w:id="7" w:name="Tc_LOjT1aOMJ06wg5KPlV_vog_3_2"/>
      <w:bookmarkStart w:id="8" w:name="Tc_c6i8G7cqPkSw6O2gl-1XLA_3_0"/>
      <w:bookmarkStart w:id="9" w:name="_63f3088f_1a73_4af4_b9da_1c469542a908"/>
      <w:bookmarkStart w:id="10" w:name="Tc_ZGDnh2zYRUGcv4WmomHV7g_6_2"/>
      <w:bookmarkStart w:id="11" w:name="Tc_BMFLOVCCi0WBZGBT42zB9Q_6_0"/>
      <w:bookmarkStart w:id="12" w:name="Tc_BysLfMecMU-bZGmJxmWm9g_5_2"/>
      <w:bookmarkStart w:id="13" w:name="Tc_UGF72cLrPkWBeDrM8szh4w_5_0"/>
      <w:bookmarkStart w:id="14" w:name="Tc_LOjT1aOMJ06wg5KPlV_vog_3_2"/>
      <w:bookmarkStart w:id="15" w:name="Tc_c6i8G7cqPkSw6O2gl-1XLA_3_0"/>
      <w:bookmarkStart w:id="16" w:name="_63f3088f_1a73_4af4_b9da_1c469542a908"/>
      <w:bookmarkEnd w:id="10"/>
      <w:bookmarkEnd w:id="11"/>
      <w:bookmarkEnd w:id="12"/>
      <w:bookmarkEnd w:id="13"/>
      <w:bookmarkEnd w:id="14"/>
      <w:bookmarkEnd w:id="15"/>
      <w:bookmarkEnd w:id="16"/>
    </w:p>
    <w:tbl>
      <w:tblPr>
        <w:tblW w:w="4306" w:type="dxa"/>
        <w:jc w:val="left"/>
        <w:tblInd w:w="0" w:type="dxa"/>
        <w:tblLayout w:type="fixed"/>
        <w:tblCellMar>
          <w:top w:w="0" w:type="dxa"/>
          <w:left w:w="0" w:type="dxa"/>
          <w:bottom w:w="0" w:type="dxa"/>
          <w:right w:w="0" w:type="dxa"/>
        </w:tblCellMar>
      </w:tblPr>
      <w:tblGrid>
        <w:gridCol w:w="1522"/>
        <w:gridCol w:w="1343"/>
        <w:gridCol w:w="1441"/>
      </w:tblGrid>
      <w:tr>
        <w:trPr/>
        <w:tc>
          <w:tcPr>
            <w:tcW w:w="1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66470" cy="175260"/>
                      <wp:effectExtent l="0" t="0" r="0" b="0"/>
                      <wp:wrapNone/>
                      <wp:docPr id="1" name="Frame1"/>
                      <a:graphic xmlns:a="http://schemas.openxmlformats.org/drawingml/2006/main">
                        <a:graphicData uri="http://schemas.microsoft.com/office/word/2010/wordprocessingShape">
                          <wps:wsp>
                            <wps:cNvSpPr txBox="1"/>
                            <wps:spPr>
                              <a:xfrm>
                                <a:off x="0" y="0"/>
                                <a:ext cx="966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52805" cy="175260"/>
                      <wp:effectExtent l="0" t="0" r="0" b="0"/>
                      <wp:wrapNone/>
                      <wp:docPr id="2" name="Frame2"/>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15035" cy="175260"/>
                      <wp:effectExtent l="0" t="0" r="0" b="0"/>
                      <wp:wrapNone/>
                      <wp:docPr id="3" name="Frame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22"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r>
      <w:tr>
        <w:trPr/>
        <w:tc>
          <w:tcPr>
            <w:tcW w:w="28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47-0351813</w:t>
            </w:r>
          </w:p>
        </w:tc>
      </w:tr>
      <w:tr>
        <w:trPr/>
        <w:tc>
          <w:tcPr>
            <w:tcW w:w="286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r>
        <w:trPr/>
        <w:tc>
          <w:tcPr>
            <w:tcW w:w="28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tc>
        <w:tc>
          <w:tcPr>
            <w:tcW w:w="1441" w:type="dxa"/>
            <w:tcBorders/>
            <w:vAlign w:val="center"/>
          </w:tcPr>
          <w:p>
            <w:pPr>
              <w:pStyle w:val="TableContents"/>
              <w:bidi w:val="0"/>
              <w:spacing w:before="0" w:after="240"/>
              <w:ind w:left="0" w:right="0" w:hanging="0"/>
              <w:jc w:val="center"/>
              <w:rPr/>
            </w:pPr>
            <w:r>
              <w:rPr/>
              <w:t>​</w:t>
            </w:r>
          </w:p>
        </w:tc>
      </w:tr>
      <w:tr>
        <w:trPr/>
        <w:tc>
          <w:tcPr>
            <w:tcW w:w="28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Omaha, Nebraska</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68154</w:t>
            </w:r>
          </w:p>
        </w:tc>
      </w:tr>
      <w:tr>
        <w:trPr/>
        <w:tc>
          <w:tcPr>
            <w:tcW w:w="286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(402)</w:t>
      </w:r>
      <w:r>
        <w:rPr>
          <w:rFonts w:ascii="Times New Roman;Times;serif" w:hAnsi="Times New Roman;Times;serif"/>
          <w:sz w:val="20"/>
        </w:rPr>
        <w:t xml:space="preserve"> </w:t>
      </w:r>
      <w:r>
        <w:rPr>
          <w:rFonts w:ascii="Times New Roman;Times;serif" w:hAnsi="Times New Roman;Times;serif"/>
          <w:b/>
          <w:sz w:val="20"/>
        </w:rPr>
        <w:t>963-1000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7" w:name="Tc_bv1CzgGxdUSFVqIMEe2ZNg_2_4"/>
      <w:bookmarkStart w:id="18" w:name="Tc_x-SqHnMlZk28bqNYb5JyUg_2_2"/>
      <w:bookmarkStart w:id="19" w:name="Tc_rhZPV2kYREGGZ4o88lIGTA_2_0"/>
      <w:bookmarkStart w:id="20" w:name="_050b3a47_3a57_4afe_9e8a_b9fd865e8bb5"/>
      <w:bookmarkStart w:id="21" w:name="Tc_bv1CzgGxdUSFVqIMEe2ZNg_2_4"/>
      <w:bookmarkStart w:id="22" w:name="Tc_x-SqHnMlZk28bqNYb5JyUg_2_2"/>
      <w:bookmarkStart w:id="23" w:name="Tc_rhZPV2kYREGGZ4o88lIGTA_2_0"/>
      <w:bookmarkStart w:id="24" w:name="_050b3a47_3a57_4afe_9e8a_b9fd865e8bb5"/>
      <w:bookmarkEnd w:id="21"/>
      <w:bookmarkEnd w:id="22"/>
      <w:bookmarkEnd w:id="23"/>
      <w:bookmarkEnd w:id="24"/>
    </w:p>
    <w:tbl>
      <w:tblPr>
        <w:tblW w:w="7376" w:type="dxa"/>
        <w:jc w:val="left"/>
        <w:tblInd w:w="0" w:type="dxa"/>
        <w:tblLayout w:type="fixed"/>
        <w:tblCellMar>
          <w:top w:w="0" w:type="dxa"/>
          <w:left w:w="0" w:type="dxa"/>
          <w:bottom w:w="0" w:type="dxa"/>
          <w:right w:w="0" w:type="dxa"/>
        </w:tblCellMar>
      </w:tblPr>
      <w:tblGrid>
        <w:gridCol w:w="2386"/>
        <w:gridCol w:w="109"/>
        <w:gridCol w:w="1456"/>
        <w:gridCol w:w="109"/>
        <w:gridCol w:w="331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515110" cy="175260"/>
                      <wp:effectExtent l="0" t="0" r="0" b="0"/>
                      <wp:wrapNone/>
                      <wp:docPr id="4" name="Frame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4560" cy="175260"/>
                      <wp:effectExtent l="0" t="0" r="0" b="0"/>
                      <wp:wrapNone/>
                      <wp:docPr id="6" name="Frame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05660" cy="175260"/>
                      <wp:effectExtent l="0" t="0" r="0" b="0"/>
                      <wp:wrapNone/>
                      <wp:docPr id="8" name="Frame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240"/>
              <w:ind w:left="0" w:right="0" w:hanging="0"/>
              <w:jc w:val="center"/>
              <w:rPr/>
            </w:pPr>
            <w:r>
              <w:rPr/>
              <w:t>​</w:t>
            </w:r>
          </w:p>
        </w:tc>
        <w:tc>
          <w:tcPr>
            <w:tcW w:w="1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bidi w:val="0"/>
              <w:spacing w:before="0" w:after="240"/>
              <w:ind w:left="0" w:right="0" w:hanging="0"/>
              <w:jc w:val="center"/>
              <w:rPr/>
            </w:pPr>
            <w:r>
              <w:rPr/>
              <w:t>​</w:t>
            </w:r>
          </w:p>
        </w:tc>
        <w:tc>
          <w:tcPr>
            <w:tcW w:w="33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3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$1.00 par value</w:t>
            </w:r>
          </w:p>
        </w:tc>
        <w:tc>
          <w:tcPr>
            <w:tcW w:w="109" w:type="dxa"/>
            <w:tcBorders/>
            <w:vAlign w:val="center"/>
          </w:tcPr>
          <w:p>
            <w:pPr>
              <w:pStyle w:val="TableContents"/>
              <w:bidi w:val="0"/>
              <w:spacing w:before="0" w:after="240"/>
              <w:ind w:left="0" w:right="0" w:hanging="0"/>
              <w:jc w:val="center"/>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VMI</w:t>
            </w:r>
          </w:p>
        </w:tc>
        <w:tc>
          <w:tcPr>
            <w:tcW w:w="109" w:type="dxa"/>
            <w:tcBorders/>
            <w:vAlign w:val="center"/>
          </w:tcPr>
          <w:p>
            <w:pPr>
              <w:pStyle w:val="TableContents"/>
              <w:bidi w:val="0"/>
              <w:spacing w:before="0" w:after="240"/>
              <w:ind w:left="0" w:right="0" w:hanging="0"/>
              <w:jc w:val="center"/>
              <w:rPr/>
            </w:pPr>
            <w:r>
              <w:rPr/>
              <w:t>​</w:t>
            </w:r>
          </w:p>
        </w:tc>
        <w:tc>
          <w:tcPr>
            <w:tcW w:w="331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r>
    </w:tbl>
    <w:p>
      <w:pPr>
        <w:pStyle w:val="TextBody"/>
        <w:bidi w:val="0"/>
        <w:spacing w:before="40" w:after="120"/>
        <w:ind w:left="0" w:right="0" w:firstLine="360"/>
        <w:jc w:val="left"/>
        <w:rPr>
          <w:rFonts w:ascii="Times New Roman;Times;serif" w:hAnsi="Times New Roman;Times;serif"/>
          <w:sz w:val="16"/>
        </w:rPr>
      </w:pPr>
      <w:r>
        <w:rPr>
          <w:rFonts w:ascii="Times New Roman;Times;serif" w:hAnsi="Times New Roman;Times;serif"/>
          <w:sz w:val="16"/>
        </w:rPr>
        <w:t>Securities registered pursuant to Section 12(g) of the Act: None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if the registrant is a well-known seasoned issuer, as defined in Rule 405 of the Securities Act.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if the registrant is not required to file reports pursuant to Section 13 or 15(d) of the Act. </w:t>
      </w:r>
      <w:r>
        <w:rPr>
          <w:rFonts w:ascii="Times New Roman;Times;serif" w:hAnsi="Times New Roman;Times;serif"/>
          <w:sz w:val="20"/>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80"/>
        <w:ind w:left="0" w:right="0" w:firstLine="36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5" w:name="Tc_UYE_cV1S_Ea0mYY_g_SGIQ_1_8"/>
      <w:bookmarkStart w:id="26" w:name="Tc_ShADrcdcnkiR9uKk1VdE-A_1_6"/>
      <w:bookmarkStart w:id="27" w:name="Tc_EEpRBskjfUSDUtQ38OM6Lg_1_5"/>
      <w:bookmarkStart w:id="28" w:name="Tc_yWjzSxRtzk2Ru3e-yLi_pQ_1_4"/>
      <w:bookmarkStart w:id="29" w:name="Tc_YaU-DtKBMUSmxZCMVxYCEg_1_3"/>
      <w:bookmarkStart w:id="30" w:name="Tc_BrRTYXKX40uBUYBPpeRAig_1_2"/>
      <w:bookmarkStart w:id="31" w:name="Tc_aT7-pAbwlkyy58MWKggNMA_1_1"/>
      <w:bookmarkStart w:id="32" w:name="_48add29a_6ff2_4d35_9b46_425d7244294d"/>
      <w:bookmarkStart w:id="33" w:name="Tc_UYE_cV1S_Ea0mYY_g_SGIQ_1_8"/>
      <w:bookmarkStart w:id="34" w:name="Tc_ShADrcdcnkiR9uKk1VdE-A_1_6"/>
      <w:bookmarkStart w:id="35" w:name="Tc_EEpRBskjfUSDUtQ38OM6Lg_1_5"/>
      <w:bookmarkStart w:id="36" w:name="Tc_yWjzSxRtzk2Ru3e-yLi_pQ_1_4"/>
      <w:bookmarkStart w:id="37" w:name="Tc_YaU-DtKBMUSmxZCMVxYCEg_1_3"/>
      <w:bookmarkStart w:id="38" w:name="Tc_BrRTYXKX40uBUYBPpeRAig_1_2"/>
      <w:bookmarkStart w:id="39" w:name="Tc_aT7-pAbwlkyy58MWKggNMA_1_1"/>
      <w:bookmarkStart w:id="40" w:name="_48add29a_6ff2_4d35_9b46_425d7244294d"/>
      <w:bookmarkEnd w:id="33"/>
      <w:bookmarkEnd w:id="34"/>
      <w:bookmarkEnd w:id="35"/>
      <w:bookmarkEnd w:id="36"/>
      <w:bookmarkEnd w:id="37"/>
      <w:bookmarkEnd w:id="38"/>
      <w:bookmarkEnd w:id="39"/>
      <w:bookmarkEnd w:id="40"/>
    </w:p>
    <w:tbl>
      <w:tblPr>
        <w:tblW w:w="10135" w:type="dxa"/>
        <w:jc w:val="left"/>
        <w:tblInd w:w="0" w:type="dxa"/>
        <w:tblLayout w:type="fixed"/>
        <w:tblCellMar>
          <w:top w:w="0" w:type="dxa"/>
          <w:left w:w="0" w:type="dxa"/>
          <w:bottom w:w="0" w:type="dxa"/>
          <w:right w:w="0" w:type="dxa"/>
        </w:tblCellMar>
      </w:tblPr>
      <w:tblGrid>
        <w:gridCol w:w="1666"/>
        <w:gridCol w:w="316"/>
        <w:gridCol w:w="1246"/>
        <w:gridCol w:w="316"/>
        <w:gridCol w:w="1561"/>
        <w:gridCol w:w="316"/>
        <w:gridCol w:w="2011"/>
        <w:gridCol w:w="316"/>
        <w:gridCol w:w="2026"/>
        <w:gridCol w:w="361"/>
      </w:tblGrid>
      <w:tr>
        <w:trPr/>
        <w:tc>
          <w:tcPr>
            <w:tcW w:w="1666" w:type="dxa"/>
            <w:tcBorders/>
            <w:vAlign w:val="center"/>
          </w:tcPr>
          <w:p>
            <w:pPr>
              <w:pStyle w:val="TableContents"/>
              <w:bidi w:val="0"/>
              <w:spacing w:before="0" w:after="0"/>
              <w:ind w:left="0" w:right="0" w:hanging="0"/>
              <w:jc w:val="left"/>
              <w:rPr>
                <w:shd w:fill="FFFF00" w:val="clear"/>
              </w:rPr>
            </w:pPr>
            <w:r>
              <w:rPr>
                <w:shd w:fill="FFFF00" w:val="clear"/>
              </w:rPr>
              <w:t>​</w:t>
            </w:r>
          </w:p>
        </w:tc>
        <w:tc>
          <w:tcPr>
            <w:tcW w:w="316" w:type="dxa"/>
            <w:tcBorders/>
            <w:vAlign w:val="center"/>
          </w:tcPr>
          <w:p>
            <w:pPr>
              <w:pStyle w:val="TableContents"/>
              <w:bidi w:val="0"/>
              <w:spacing w:before="0" w:after="0"/>
              <w:ind w:left="0" w:right="0" w:hanging="0"/>
              <w:jc w:val="left"/>
              <w:rPr>
                <w:shd w:fill="FFFF00" w:val="clear"/>
              </w:rPr>
            </w:pPr>
            <w:r>
              <w:rPr>
                <w:shd w:fill="FFFF00" w:val="clear"/>
              </w:rPr>
              <w:t>​</w:t>
            </w:r>
          </w:p>
        </w:tc>
        <w:tc>
          <w:tcPr>
            <w:tcW w:w="1246" w:type="dxa"/>
            <w:tcBorders/>
            <w:vAlign w:val="center"/>
          </w:tcPr>
          <w:p>
            <w:pPr>
              <w:pStyle w:val="TableContents"/>
              <w:bidi w:val="0"/>
              <w:spacing w:before="0" w:after="0"/>
              <w:ind w:left="0" w:right="0" w:hanging="0"/>
              <w:jc w:val="left"/>
              <w:rPr>
                <w:shd w:fill="FFFF00" w:val="clear"/>
              </w:rPr>
            </w:pPr>
            <w:r>
              <w:rPr>
                <w:shd w:fill="FFFF00" w:val="clear"/>
              </w:rPr>
              <w:t>​</w:t>
            </w:r>
          </w:p>
        </w:tc>
        <w:tc>
          <w:tcPr>
            <w:tcW w:w="316" w:type="dxa"/>
            <w:tcBorders/>
            <w:vAlign w:val="center"/>
          </w:tcPr>
          <w:p>
            <w:pPr>
              <w:pStyle w:val="TableContents"/>
              <w:bidi w:val="0"/>
              <w:spacing w:before="0" w:after="0"/>
              <w:ind w:left="0" w:right="0" w:hanging="0"/>
              <w:jc w:val="left"/>
              <w:rPr>
                <w:shd w:fill="FFFF00" w:val="clear"/>
              </w:rPr>
            </w:pPr>
            <w:r>
              <w:rPr>
                <w:shd w:fill="FFFF00" w:val="clear"/>
              </w:rPr>
              <w:t>​</w:t>
            </w:r>
          </w:p>
        </w:tc>
        <w:tc>
          <w:tcPr>
            <w:tcW w:w="1561" w:type="dxa"/>
            <w:tcBorders/>
            <w:vAlign w:val="center"/>
          </w:tcPr>
          <w:p>
            <w:pPr>
              <w:pStyle w:val="TableContents"/>
              <w:bidi w:val="0"/>
              <w:spacing w:before="0" w:after="0"/>
              <w:ind w:left="0" w:right="0" w:hanging="0"/>
              <w:jc w:val="left"/>
              <w:rPr>
                <w:shd w:fill="FFFF00" w:val="clear"/>
              </w:rPr>
            </w:pPr>
            <w:r>
              <w:rPr>
                <w:shd w:fill="FFFF00" w:val="clear"/>
              </w:rPr>
              <w:t>​</w:t>
            </w:r>
          </w:p>
        </w:tc>
        <w:tc>
          <w:tcPr>
            <w:tcW w:w="316" w:type="dxa"/>
            <w:tcBorders/>
            <w:vAlign w:val="center"/>
          </w:tcPr>
          <w:p>
            <w:pPr>
              <w:pStyle w:val="TableContents"/>
              <w:bidi w:val="0"/>
              <w:spacing w:before="0" w:after="0"/>
              <w:ind w:left="0" w:right="0" w:hanging="0"/>
              <w:jc w:val="left"/>
              <w:rPr>
                <w:shd w:fill="FFFF00" w:val="clear"/>
              </w:rPr>
            </w:pPr>
            <w:r>
              <w:rPr>
                <w:shd w:fill="FFFF00" w:val="clear"/>
              </w:rPr>
              <w:t>​</w:t>
            </w:r>
          </w:p>
        </w:tc>
        <w:tc>
          <w:tcPr>
            <w:tcW w:w="2011" w:type="dxa"/>
            <w:tcBorders/>
            <w:vAlign w:val="center"/>
          </w:tcPr>
          <w:p>
            <w:pPr>
              <w:pStyle w:val="TableContents"/>
              <w:bidi w:val="0"/>
              <w:spacing w:before="0" w:after="0"/>
              <w:ind w:left="0" w:right="0" w:hanging="0"/>
              <w:jc w:val="left"/>
              <w:rPr>
                <w:shd w:fill="FFFF00" w:val="clear"/>
              </w:rPr>
            </w:pPr>
            <w:r>
              <w:rPr>
                <w:shd w:fill="FFFF00" w:val="clear"/>
              </w:rPr>
              <w:t>​</w:t>
            </w:r>
          </w:p>
        </w:tc>
        <w:tc>
          <w:tcPr>
            <w:tcW w:w="316" w:type="dxa"/>
            <w:tcBorders/>
            <w:vAlign w:val="center"/>
          </w:tcPr>
          <w:p>
            <w:pPr>
              <w:pStyle w:val="TableContents"/>
              <w:bidi w:val="0"/>
              <w:spacing w:before="0" w:after="0"/>
              <w:ind w:left="0" w:right="0" w:hanging="0"/>
              <w:jc w:val="left"/>
              <w:rPr>
                <w:shd w:fill="FFFF00" w:val="clear"/>
              </w:rPr>
            </w:pPr>
            <w:r>
              <w:rPr>
                <w:shd w:fill="FFFF00" w:val="clear"/>
              </w:rPr>
              <w:t>​</w:t>
            </w:r>
          </w:p>
        </w:tc>
        <w:tc>
          <w:tcPr>
            <w:tcW w:w="2026" w:type="dxa"/>
            <w:tcBorders/>
            <w:vAlign w:val="center"/>
          </w:tcPr>
          <w:p>
            <w:pPr>
              <w:pStyle w:val="TableContents"/>
              <w:bidi w:val="0"/>
              <w:spacing w:before="0" w:after="0"/>
              <w:ind w:left="0" w:right="0" w:hanging="0"/>
              <w:jc w:val="left"/>
              <w:rPr>
                <w:shd w:fill="FFFF00" w:val="clear"/>
              </w:rPr>
            </w:pPr>
            <w:r>
              <w:rPr>
                <w:shd w:fill="FFFF00" w:val="clear"/>
              </w:rPr>
              <w:t>​</w:t>
            </w:r>
          </w:p>
        </w:tc>
        <w:tc>
          <w:tcPr>
            <w:tcW w:w="361"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666" w:type="dxa"/>
            <w:tcBorders/>
            <w:vAlign w:val="center"/>
          </w:tcPr>
          <w:p>
            <w:pPr>
              <w:pStyle w:val="TableContents"/>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120"/>
              <w:ind w:left="0" w:right="0" w:hanging="0"/>
              <w:jc w:val="left"/>
              <w:rPr/>
            </w:pPr>
            <w:r>
              <w:rPr/>
              <w:t>☒</w:t>
            </w:r>
          </w:p>
        </w:tc>
        <w:tc>
          <w:tcPr>
            <w:tcW w:w="1246" w:type="dxa"/>
            <w:tcBorders/>
            <w:vAlign w:val="center"/>
          </w:tcPr>
          <w:p>
            <w:pPr>
              <w:pStyle w:val="TableContents"/>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120"/>
              <w:ind w:left="0" w:right="0" w:hanging="0"/>
              <w:jc w:val="left"/>
              <w:rPr/>
            </w:pPr>
            <w:r>
              <w:rPr/>
              <w:t>☐</w:t>
            </w:r>
          </w:p>
        </w:tc>
        <w:tc>
          <w:tcPr>
            <w:tcW w:w="1561" w:type="dxa"/>
            <w:tcBorders/>
            <w:vAlign w:val="center"/>
          </w:tcPr>
          <w:p>
            <w:pPr>
              <w:pStyle w:val="TableContents"/>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120"/>
              <w:ind w:left="0" w:right="0" w:hanging="0"/>
              <w:jc w:val="left"/>
              <w:rPr/>
            </w:pPr>
            <w:r>
              <w:rPr/>
              <w:t>☐</w:t>
            </w:r>
          </w:p>
        </w:tc>
        <w:tc>
          <w:tcPr>
            <w:tcW w:w="2011" w:type="dxa"/>
            <w:tcBorders/>
            <w:vAlign w:val="center"/>
          </w:tcPr>
          <w:p>
            <w:pPr>
              <w:pStyle w:val="TableContents"/>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120"/>
              <w:ind w:left="0" w:right="0" w:hanging="0"/>
              <w:jc w:val="left"/>
              <w:rPr/>
            </w:pPr>
            <w:r>
              <w:rPr/>
              <w:t>☐</w:t>
            </w:r>
          </w:p>
        </w:tc>
        <w:tc>
          <w:tcPr>
            <w:tcW w:w="2026" w:type="dxa"/>
            <w:tcBorders/>
            <w:vAlign w:val="center"/>
          </w:tcPr>
          <w:p>
            <w:pPr>
              <w:pStyle w:val="TableContents"/>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120"/>
              <w:ind w:left="0" w:right="0" w:hanging="0"/>
              <w:jc w:val="left"/>
              <w:rPr/>
            </w:pPr>
            <w:r>
              <w:rPr/>
              <w:t>☐</w:t>
            </w:r>
          </w:p>
        </w:tc>
      </w:tr>
    </w:tbl>
    <w:p>
      <w:pPr>
        <w:pStyle w:val="TextBody"/>
        <w:bidi w:val="0"/>
        <w:spacing w:lineRule="atLeast" w:line="160" w:before="0" w:after="120"/>
        <w:ind w:left="0" w:right="0" w:firstLine="36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60" w:before="0" w:after="12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lineRule="atLeast" w:line="160" w:before="0" w:after="120"/>
        <w:ind w:left="0" w:right="0" w:firstLine="360"/>
        <w:jc w:val="left"/>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w:t>
      </w:r>
    </w:p>
    <w:p>
      <w:pPr>
        <w:pStyle w:val="TextBody"/>
        <w:bidi w:val="0"/>
        <w:spacing w:lineRule="atLeast" w:line="160" w:before="0" w:after="120"/>
        <w:ind w:left="0" w:right="0" w:firstLine="36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tLeast" w:line="160" w:before="0" w:after="12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Act). </w:t>
      </w:r>
      <w:r>
        <w:rPr>
          <w:rFonts w:ascii="Times New Roman;Times;serif" w:hAnsi="Times New Roman;Times;serif"/>
          <w:sz w:val="20"/>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bidi w:val="0"/>
        <w:spacing w:lineRule="atLeast" w:line="160" w:before="0" w:after="120"/>
        <w:ind w:left="0" w:right="0" w:firstLine="360"/>
        <w:jc w:val="left"/>
        <w:rPr>
          <w:rFonts w:ascii="Times New Roman;Times;serif" w:hAnsi="Times New Roman;Times;serif"/>
          <w:sz w:val="16"/>
        </w:rPr>
      </w:pPr>
      <w:r>
        <w:rPr>
          <w:rFonts w:ascii="Times New Roman;Times;serif" w:hAnsi="Times New Roman;Times;serif"/>
          <w:sz w:val="16"/>
        </w:rPr>
        <w:t>The aggregate market value of the voting stock held by non-affiliates of the Company based on the closing sales price of the common shares as reported on the New York Stock Exchange as of June 28, 2025 was $6,424,049,320.</w:t>
      </w:r>
    </w:p>
    <w:p>
      <w:pPr>
        <w:pStyle w:val="TextBody"/>
        <w:bidi w:val="0"/>
        <w:spacing w:lineRule="atLeast" w:line="160" w:before="0" w:after="120"/>
        <w:ind w:left="0" w:right="0" w:firstLine="360"/>
        <w:jc w:val="left"/>
        <w:rPr>
          <w:rFonts w:ascii="Times New Roman;Times;serif" w:hAnsi="Times New Roman;Times;serif"/>
          <w:sz w:val="16"/>
        </w:rPr>
      </w:pPr>
      <w:r>
        <w:rPr>
          <w:rFonts w:ascii="Times New Roman;Times;serif" w:hAnsi="Times New Roman;Times;serif"/>
          <w:sz w:val="16"/>
        </w:rPr>
        <w:t>As of February 20, 2026, there were 19,535,262 of the Company’s common shares outstanding.</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120"/>
        <w:ind w:left="0" w:right="0" w:firstLine="360"/>
        <w:jc w:val="left"/>
        <w:rPr>
          <w:rFonts w:ascii="Times New Roman;Times;serif" w:hAnsi="Times New Roman;Times;serif"/>
          <w:sz w:val="16"/>
        </w:rPr>
      </w:pPr>
      <w:r>
        <w:rPr>
          <w:rFonts w:ascii="Times New Roman;Times;serif" w:hAnsi="Times New Roman;Times;serif"/>
          <w:sz w:val="16"/>
        </w:rPr>
        <w:t>Portions of the Registrant’s proxy statement for its annual meeting of shareholders to be held on April 27, 2026 (the “Proxy Statement”), to be filed within 120 days of the fiscal year ended December 27, 2025, are incorporated by reference into Part III of this Annual Report on Form 10-K.</w:t>
      </w:r>
    </w:p>
    <w:p>
      <w:pPr>
        <w:pStyle w:val="TextBody"/>
        <w:pBdr>
          <w:top w:val="single" w:sz="2" w:space="1" w:color="000000"/>
          <w:bottom w:val="single" w:sz="24" w:space="1" w:color="000000"/>
        </w:pBdr>
        <w:bidi w:val="0"/>
        <w:spacing w:before="0" w:after="240"/>
        <w:ind w:left="0" w:right="0" w:firstLine="36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left"/>
        <w:rPr>
          <w:caps/>
        </w:rPr>
      </w:pPr>
      <w:r>
        <w:rPr>
          <w:caps/>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bookmarkStart w:id="41" w:name="_eb135721_4517_4256_b59b_76366c2a3036"/>
      <w:bookmarkEnd w:id="41"/>
      <w:r>
        <w:rPr>
          <w:rFonts w:ascii="Times New Roman;Times;serif" w:hAnsi="Times New Roman;Times;serif"/>
          <w:b/>
          <w:sz w:val="20"/>
        </w:rPr>
        <w:t>VALMONT INDUSTRIES, INC. AND SUBSIDIARIES</w:t>
      </w:r>
    </w:p>
    <w:p>
      <w:pPr>
        <w:pStyle w:val="TextBody"/>
        <w:bidi w:val="0"/>
        <w:spacing w:lineRule="atLeast" w:line="200"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09"/>
        <w:gridCol w:w="8934"/>
        <w:gridCol w:w="362"/>
      </w:tblGrid>
      <w:tr>
        <w:trPr/>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7215" cy="175260"/>
                      <wp:effectExtent l="0" t="0" r="0" b="0"/>
                      <wp:wrapNone/>
                      <wp:docPr id="9" name="Frame9"/>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73090" cy="175260"/>
                      <wp:effectExtent l="0" t="0" r="0" b="0"/>
                      <wp:wrapNone/>
                      <wp:docPr id="10" name="Frame10"/>
                      <a:graphic xmlns:a="http://schemas.openxmlformats.org/drawingml/2006/main">
                        <a:graphicData uri="http://schemas.microsoft.com/office/word/2010/wordprocessingShape">
                          <wps:wsp>
                            <wps:cNvSpPr txBox="1"/>
                            <wps:spPr>
                              <a:xfrm>
                                <a:off x="0" y="0"/>
                                <a:ext cx="567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870" cy="175260"/>
                      <wp:effectExtent l="0" t="0" r="0" b="0"/>
                      <wp:wrapNone/>
                      <wp:docPr id="11" name="Frame1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ITEM1BUSINESS_711310">
              <w:r>
                <w:rPr>
                  <w:rStyle w:val="InternetLink"/>
                  <w:rFonts w:ascii="Times New Roman;Times;serif" w:hAnsi="Times New Roman;Times;serif"/>
                  <w:b w:val="false"/>
                  <w:i w:val="false"/>
                  <w:caps w:val="false"/>
                  <w:smallCaps w:val="false"/>
                  <w:sz w:val="20"/>
                </w:rPr>
                <w:t>Item 1</w:t>
              </w:r>
            </w:hyperlink>
          </w:p>
        </w:tc>
        <w:tc>
          <w:tcPr>
            <w:tcW w:w="8934" w:type="dxa"/>
            <w:tcBorders/>
            <w:vAlign w:val="center"/>
          </w:tcPr>
          <w:p>
            <w:pPr>
              <w:pStyle w:val="TableContents"/>
              <w:bidi w:val="0"/>
              <w:spacing w:before="0" w:after="0"/>
              <w:ind w:left="0" w:right="0" w:hanging="0"/>
              <w:jc w:val="left"/>
              <w:rPr/>
            </w:pPr>
            <w:hyperlink w:anchor="ITEM1BUSINESS_711310">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09" w:type="dxa"/>
            <w:tcBorders/>
            <w:vAlign w:val="center"/>
          </w:tcPr>
          <w:p>
            <w:pPr>
              <w:pStyle w:val="TableContents"/>
              <w:bidi w:val="0"/>
              <w:spacing w:before="0" w:after="0"/>
              <w:ind w:left="0" w:right="0" w:hanging="0"/>
              <w:jc w:val="left"/>
              <w:rPr/>
            </w:pPr>
            <w:hyperlink w:anchor="ITEM1ARISKFACTORS_18348">
              <w:r>
                <w:rPr>
                  <w:rStyle w:val="InternetLink"/>
                  <w:rFonts w:ascii="Times New Roman;Times;serif" w:hAnsi="Times New Roman;Times;serif"/>
                  <w:b w:val="false"/>
                  <w:i w:val="false"/>
                  <w:caps w:val="false"/>
                  <w:smallCaps w:val="false"/>
                  <w:sz w:val="20"/>
                </w:rPr>
                <w:t>Item 1A</w:t>
              </w:r>
            </w:hyperlink>
          </w:p>
        </w:tc>
        <w:tc>
          <w:tcPr>
            <w:tcW w:w="8934" w:type="dxa"/>
            <w:tcBorders/>
            <w:vAlign w:val="center"/>
          </w:tcPr>
          <w:p>
            <w:pPr>
              <w:pStyle w:val="TableContents"/>
              <w:bidi w:val="0"/>
              <w:spacing w:before="0" w:after="0"/>
              <w:ind w:left="0" w:right="0" w:hanging="0"/>
              <w:jc w:val="left"/>
              <w:rPr/>
            </w:pPr>
            <w:hyperlink w:anchor="ITEM1ARISKFACTORS_18348">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09" w:type="dxa"/>
            <w:tcBorders/>
            <w:vAlign w:val="center"/>
          </w:tcPr>
          <w:p>
            <w:pPr>
              <w:pStyle w:val="TableContents"/>
              <w:bidi w:val="0"/>
              <w:spacing w:before="0" w:after="0"/>
              <w:ind w:left="0" w:right="0" w:hanging="0"/>
              <w:jc w:val="left"/>
              <w:rPr/>
            </w:pPr>
            <w:hyperlink w:anchor="ITEM1BUNRESOLVEDSTAFFCOMMENTS_710683">
              <w:r>
                <w:rPr>
                  <w:rStyle w:val="InternetLink"/>
                  <w:rFonts w:ascii="Times New Roman;Times;serif" w:hAnsi="Times New Roman;Times;serif"/>
                  <w:b w:val="false"/>
                  <w:i w:val="false"/>
                  <w:caps w:val="false"/>
                  <w:smallCaps w:val="false"/>
                  <w:sz w:val="20"/>
                </w:rPr>
                <w:t>Item 1B</w:t>
              </w:r>
            </w:hyperlink>
          </w:p>
        </w:tc>
        <w:tc>
          <w:tcPr>
            <w:tcW w:w="8934" w:type="dxa"/>
            <w:tcBorders/>
            <w:vAlign w:val="center"/>
          </w:tcPr>
          <w:p>
            <w:pPr>
              <w:pStyle w:val="TableContents"/>
              <w:bidi w:val="0"/>
              <w:spacing w:before="0" w:after="0"/>
              <w:ind w:left="0" w:right="0" w:hanging="0"/>
              <w:jc w:val="left"/>
              <w:rPr/>
            </w:pPr>
            <w:hyperlink w:anchor="ITEM1BUNRESOLVEDSTAFFCOMMENTS_710683">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09"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8934"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09" w:type="dxa"/>
            <w:tcBorders/>
            <w:vAlign w:val="center"/>
          </w:tcPr>
          <w:p>
            <w:pPr>
              <w:pStyle w:val="TableContents"/>
              <w:bidi w:val="0"/>
              <w:spacing w:before="0" w:after="0"/>
              <w:ind w:left="0" w:right="0" w:hanging="0"/>
              <w:jc w:val="left"/>
              <w:rPr/>
            </w:pPr>
            <w:hyperlink w:anchor="ITEM2PROPERTIES_243937">
              <w:r>
                <w:rPr>
                  <w:rStyle w:val="InternetLink"/>
                  <w:rFonts w:ascii="Times New Roman;Times;serif" w:hAnsi="Times New Roman;Times;serif"/>
                  <w:b w:val="false"/>
                  <w:i w:val="false"/>
                  <w:caps w:val="false"/>
                  <w:smallCaps w:val="false"/>
                  <w:sz w:val="20"/>
                </w:rPr>
                <w:t>Item 2</w:t>
              </w:r>
            </w:hyperlink>
          </w:p>
        </w:tc>
        <w:tc>
          <w:tcPr>
            <w:tcW w:w="8934" w:type="dxa"/>
            <w:tcBorders/>
            <w:vAlign w:val="center"/>
          </w:tcPr>
          <w:p>
            <w:pPr>
              <w:pStyle w:val="TableContents"/>
              <w:bidi w:val="0"/>
              <w:spacing w:before="0" w:after="0"/>
              <w:ind w:left="0" w:right="0" w:hanging="0"/>
              <w:jc w:val="left"/>
              <w:rPr/>
            </w:pPr>
            <w:hyperlink w:anchor="ITEM2PROPERTIES_243937">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09" w:type="dxa"/>
            <w:tcBorders/>
            <w:vAlign w:val="center"/>
          </w:tcPr>
          <w:p>
            <w:pPr>
              <w:pStyle w:val="TableContents"/>
              <w:bidi w:val="0"/>
              <w:spacing w:before="0" w:after="0"/>
              <w:ind w:left="0" w:right="0" w:hanging="0"/>
              <w:jc w:val="left"/>
              <w:rPr/>
            </w:pPr>
            <w:hyperlink w:anchor="ITEM3LEGALPROCEEDINGS_240337">
              <w:r>
                <w:rPr>
                  <w:rStyle w:val="InternetLink"/>
                  <w:rFonts w:ascii="Times New Roman;Times;serif" w:hAnsi="Times New Roman;Times;serif"/>
                  <w:b w:val="false"/>
                  <w:i w:val="false"/>
                  <w:caps w:val="false"/>
                  <w:smallCaps w:val="false"/>
                  <w:sz w:val="20"/>
                </w:rPr>
                <w:t>Item 3</w:t>
              </w:r>
            </w:hyperlink>
          </w:p>
        </w:tc>
        <w:tc>
          <w:tcPr>
            <w:tcW w:w="8934" w:type="dxa"/>
            <w:tcBorders/>
            <w:vAlign w:val="center"/>
          </w:tcPr>
          <w:p>
            <w:pPr>
              <w:pStyle w:val="TableContents"/>
              <w:bidi w:val="0"/>
              <w:spacing w:before="0" w:after="0"/>
              <w:ind w:left="0" w:right="0" w:hanging="0"/>
              <w:jc w:val="left"/>
              <w:rPr/>
            </w:pPr>
            <w:hyperlink w:anchor="ITEM3LEGALPROCEEDINGS_240337">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09" w:type="dxa"/>
            <w:tcBorders/>
            <w:vAlign w:val="center"/>
          </w:tcPr>
          <w:p>
            <w:pPr>
              <w:pStyle w:val="TableContents"/>
              <w:bidi w:val="0"/>
              <w:spacing w:before="0" w:after="0"/>
              <w:ind w:left="0" w:right="0" w:hanging="0"/>
              <w:jc w:val="left"/>
              <w:rPr/>
            </w:pPr>
            <w:hyperlink w:anchor="ITEM4MINESAFETYDISCLOSURES_989279">
              <w:r>
                <w:rPr>
                  <w:rStyle w:val="InternetLink"/>
                  <w:rFonts w:ascii="Times New Roman;Times;serif" w:hAnsi="Times New Roman;Times;serif"/>
                  <w:b w:val="false"/>
                  <w:i w:val="false"/>
                  <w:caps w:val="false"/>
                  <w:smallCaps w:val="false"/>
                  <w:sz w:val="20"/>
                </w:rPr>
                <w:t>Item 4</w:t>
              </w:r>
            </w:hyperlink>
          </w:p>
        </w:tc>
        <w:tc>
          <w:tcPr>
            <w:tcW w:w="8934" w:type="dxa"/>
            <w:tcBorders/>
            <w:vAlign w:val="center"/>
          </w:tcPr>
          <w:p>
            <w:pPr>
              <w:pStyle w:val="TableContents"/>
              <w:bidi w:val="0"/>
              <w:spacing w:before="0" w:after="0"/>
              <w:ind w:left="0" w:right="0" w:hanging="0"/>
              <w:jc w:val="left"/>
              <w:rPr/>
            </w:pPr>
            <w:hyperlink w:anchor="ITEM4MINESAFETYDISCLOSURES_989279">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09" w:type="dxa"/>
            <w:tcBorders/>
            <w:vAlign w:val="center"/>
          </w:tcPr>
          <w:p>
            <w:pPr>
              <w:pStyle w:val="TableContents"/>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PART II</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b w:val="false"/>
                  <w:i w:val="false"/>
                  <w:caps w:val="false"/>
                  <w:smallCaps w:val="false"/>
                  <w:sz w:val="20"/>
                </w:rPr>
                <w:t>Item 5</w:t>
              </w:r>
            </w:hyperlink>
          </w:p>
        </w:tc>
        <w:tc>
          <w:tcPr>
            <w:tcW w:w="8934"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09" w:type="dxa"/>
            <w:tcBorders/>
            <w:vAlign w:val="center"/>
          </w:tcPr>
          <w:p>
            <w:pPr>
              <w:pStyle w:val="TableContents"/>
              <w:bidi w:val="0"/>
              <w:spacing w:before="0" w:after="0"/>
              <w:ind w:left="0" w:right="0" w:hanging="0"/>
              <w:jc w:val="left"/>
              <w:rPr/>
            </w:pPr>
            <w:hyperlink w:anchor="_ITEM_6._RESERVED">
              <w:r>
                <w:rPr>
                  <w:rStyle w:val="InternetLink"/>
                  <w:rFonts w:ascii="Times New Roman;Times;serif" w:hAnsi="Times New Roman;Times;serif"/>
                  <w:b w:val="false"/>
                  <w:i w:val="false"/>
                  <w:caps w:val="false"/>
                  <w:smallCaps w:val="false"/>
                  <w:sz w:val="20"/>
                </w:rPr>
                <w:t>Item 6</w:t>
              </w:r>
            </w:hyperlink>
          </w:p>
        </w:tc>
        <w:tc>
          <w:tcPr>
            <w:tcW w:w="8934" w:type="dxa"/>
            <w:tcBorders/>
            <w:vAlign w:val="center"/>
          </w:tcPr>
          <w:p>
            <w:pPr>
              <w:pStyle w:val="TableContents"/>
              <w:bidi w:val="0"/>
              <w:spacing w:before="0" w:after="0"/>
              <w:ind w:left="0" w:right="0" w:hanging="0"/>
              <w:jc w:val="left"/>
              <w:rPr/>
            </w:pPr>
            <w:r>
              <w:rPr>
                <w:rFonts w:ascii="Times New Roman;Times;serif" w:hAnsi="Times New Roman;Times;serif"/>
                <w:sz w:val="20"/>
              </w:rPr>
              <w:t>[</w:t>
            </w:r>
            <w:hyperlink w:anchor="_ITEM_6._RESERVED">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09"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934"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09"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934"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09"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934"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09"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934"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09" w:type="dxa"/>
            <w:tcBorders/>
            <w:vAlign w:val="center"/>
          </w:tcPr>
          <w:p>
            <w:pPr>
              <w:pStyle w:val="TableContents"/>
              <w:bidi w:val="0"/>
              <w:spacing w:before="0" w:after="0"/>
              <w:ind w:left="0" w:right="0" w:hanging="0"/>
              <w:jc w:val="left"/>
              <w:rPr/>
            </w:pPr>
            <w:hyperlink w:anchor="ITEM9ACONTROLSANDPROCEDURES_82441">
              <w:r>
                <w:rPr>
                  <w:rStyle w:val="InternetLink"/>
                  <w:rFonts w:ascii="Times New Roman;Times;serif" w:hAnsi="Times New Roman;Times;serif"/>
                  <w:b w:val="false"/>
                  <w:i w:val="false"/>
                  <w:caps w:val="false"/>
                  <w:smallCaps w:val="false"/>
                  <w:sz w:val="20"/>
                </w:rPr>
                <w:t>Item 9A</w:t>
              </w:r>
            </w:hyperlink>
          </w:p>
        </w:tc>
        <w:tc>
          <w:tcPr>
            <w:tcW w:w="8934" w:type="dxa"/>
            <w:tcBorders/>
            <w:vAlign w:val="center"/>
          </w:tcPr>
          <w:p>
            <w:pPr>
              <w:pStyle w:val="TableContents"/>
              <w:bidi w:val="0"/>
              <w:spacing w:before="0" w:after="0"/>
              <w:ind w:left="0" w:right="0" w:hanging="0"/>
              <w:jc w:val="left"/>
              <w:rPr/>
            </w:pPr>
            <w:hyperlink w:anchor="ITEM9ACONTROLSANDPROCEDURES_82441">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09" w:type="dxa"/>
            <w:tcBorders/>
            <w:vAlign w:val="center"/>
          </w:tcPr>
          <w:p>
            <w:pPr>
              <w:pStyle w:val="TableContents"/>
              <w:bidi w:val="0"/>
              <w:spacing w:before="0" w:after="0"/>
              <w:ind w:left="0" w:right="0" w:hanging="0"/>
              <w:jc w:val="left"/>
              <w:rPr/>
            </w:pPr>
            <w:hyperlink w:anchor="ITEM9BOTHERINFORMATION_47195">
              <w:r>
                <w:rPr>
                  <w:rStyle w:val="InternetLink"/>
                  <w:rFonts w:ascii="Times New Roman;Times;serif" w:hAnsi="Times New Roman;Times;serif"/>
                  <w:b w:val="false"/>
                  <w:i w:val="false"/>
                  <w:caps w:val="false"/>
                  <w:smallCaps w:val="false"/>
                  <w:sz w:val="20"/>
                </w:rPr>
                <w:t>Item 9B</w:t>
              </w:r>
            </w:hyperlink>
          </w:p>
        </w:tc>
        <w:tc>
          <w:tcPr>
            <w:tcW w:w="8934" w:type="dxa"/>
            <w:tcBorders/>
            <w:vAlign w:val="center"/>
          </w:tcPr>
          <w:p>
            <w:pPr>
              <w:pStyle w:val="TableContents"/>
              <w:bidi w:val="0"/>
              <w:spacing w:before="0" w:after="0"/>
              <w:ind w:left="0" w:right="0" w:hanging="0"/>
              <w:jc w:val="left"/>
              <w:rPr/>
            </w:pPr>
            <w:hyperlink w:anchor="ITEM9BOTHERINFORMATION_47195">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09" w:type="dxa"/>
            <w:tcBorders/>
            <w:vAlign w:val="center"/>
          </w:tcPr>
          <w:p>
            <w:pPr>
              <w:pStyle w:val="TableContents"/>
              <w:bidi w:val="0"/>
              <w:spacing w:before="0" w:after="0"/>
              <w:ind w:left="0" w:right="0" w:hanging="0"/>
              <w:jc w:val="left"/>
              <w:rPr/>
            </w:pPr>
            <w:hyperlink w:anchor="a0ITEM9CDISCLOSUREREGARDINGFOREIGNJURISD">
              <w:r>
                <w:rPr>
                  <w:rStyle w:val="InternetLink"/>
                  <w:rFonts w:ascii="Times New Roman;Times;serif" w:hAnsi="Times New Roman;Times;serif"/>
                  <w:b w:val="false"/>
                  <w:i w:val="false"/>
                  <w:caps w:val="false"/>
                  <w:smallCaps w:val="false"/>
                  <w:sz w:val="20"/>
                </w:rPr>
                <w:t>Item 9C</w:t>
              </w:r>
            </w:hyperlink>
          </w:p>
        </w:tc>
        <w:tc>
          <w:tcPr>
            <w:tcW w:w="8934" w:type="dxa"/>
            <w:tcBorders/>
            <w:vAlign w:val="center"/>
          </w:tcPr>
          <w:p>
            <w:pPr>
              <w:pStyle w:val="TableContents"/>
              <w:bidi w:val="0"/>
              <w:spacing w:before="0" w:after="0"/>
              <w:ind w:left="0" w:right="0" w:hanging="0"/>
              <w:jc w:val="left"/>
              <w:rPr/>
            </w:pPr>
            <w:hyperlink w:anchor="a0ITEM9CDISCLOSUREREGARDINGFOREIGNJURISD">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09" w:type="dxa"/>
            <w:tcBorders/>
            <w:vAlign w:val="center"/>
          </w:tcPr>
          <w:p>
            <w:pPr>
              <w:pStyle w:val="TableContents"/>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PART III</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934"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09" w:type="dxa"/>
            <w:tcBorders/>
            <w:vAlign w:val="center"/>
          </w:tcPr>
          <w:p>
            <w:pPr>
              <w:pStyle w:val="TableContents"/>
              <w:bidi w:val="0"/>
              <w:spacing w:before="0" w:after="0"/>
              <w:ind w:left="0" w:right="0" w:hanging="0"/>
              <w:jc w:val="left"/>
              <w:rPr/>
            </w:pPr>
            <w:hyperlink w:anchor="ITEM11EXECUTIVECOMPENSATION_239145">
              <w:r>
                <w:rPr>
                  <w:rStyle w:val="InternetLink"/>
                  <w:rFonts w:ascii="Times New Roman;Times;serif" w:hAnsi="Times New Roman;Times;serif"/>
                  <w:b w:val="false"/>
                  <w:i w:val="false"/>
                  <w:caps w:val="false"/>
                  <w:smallCaps w:val="false"/>
                  <w:sz w:val="20"/>
                </w:rPr>
                <w:t>Item 11</w:t>
              </w:r>
            </w:hyperlink>
          </w:p>
        </w:tc>
        <w:tc>
          <w:tcPr>
            <w:tcW w:w="8934" w:type="dxa"/>
            <w:tcBorders/>
            <w:vAlign w:val="center"/>
          </w:tcPr>
          <w:p>
            <w:pPr>
              <w:pStyle w:val="TableContents"/>
              <w:bidi w:val="0"/>
              <w:spacing w:before="0" w:after="0"/>
              <w:ind w:left="0" w:right="0" w:hanging="0"/>
              <w:jc w:val="left"/>
              <w:rPr/>
            </w:pPr>
            <w:hyperlink w:anchor="ITEM11EXECUTIVECOMPENSATION_239145">
              <w:r>
                <w:rPr>
                  <w:rStyle w:val="InternetLink"/>
                  <w:rFonts w:ascii="Times New Roman;Times;serif" w:hAnsi="Times New Roman;Times;serif"/>
                  <w:b w:val="false"/>
                  <w:i w:val="false"/>
                  <w:caps w:val="false"/>
                  <w:smallCaps w:val="false"/>
                  <w:sz w:val="20"/>
                </w:rPr>
                <w:t>Executive Compensation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09"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934"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09"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934"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09"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934"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09" w:type="dxa"/>
            <w:tcBorders/>
            <w:vAlign w:val="center"/>
          </w:tcPr>
          <w:p>
            <w:pPr>
              <w:pStyle w:val="TableContents"/>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PART IV</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934"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909" w:type="dxa"/>
            <w:tcBorders/>
            <w:vAlign w:val="center"/>
          </w:tcPr>
          <w:p>
            <w:pPr>
              <w:pStyle w:val="TableContents"/>
              <w:bidi w:val="0"/>
              <w:spacing w:before="0" w:after="0"/>
              <w:ind w:left="0" w:right="0" w:hanging="0"/>
              <w:jc w:val="left"/>
              <w:rPr/>
            </w:pPr>
            <w:hyperlink w:anchor="ITEM16FORM10KSUMMARY_265220">
              <w:r>
                <w:rPr>
                  <w:rStyle w:val="InternetLink"/>
                  <w:rFonts w:ascii="Times New Roman;Times;serif" w:hAnsi="Times New Roman;Times;serif"/>
                  <w:b w:val="false"/>
                  <w:i w:val="false"/>
                  <w:caps w:val="false"/>
                  <w:smallCaps w:val="false"/>
                  <w:sz w:val="20"/>
                </w:rPr>
                <w:t>Item 16</w:t>
              </w:r>
            </w:hyperlink>
          </w:p>
        </w:tc>
        <w:tc>
          <w:tcPr>
            <w:tcW w:w="8934" w:type="dxa"/>
            <w:tcBorders/>
            <w:vAlign w:val="center"/>
          </w:tcPr>
          <w:p>
            <w:pPr>
              <w:pStyle w:val="TableContents"/>
              <w:bidi w:val="0"/>
              <w:spacing w:before="0" w:after="0"/>
              <w:ind w:left="0" w:right="0" w:hanging="0"/>
              <w:jc w:val="left"/>
              <w:rPr/>
            </w:pPr>
            <w:hyperlink w:anchor="ITEM16FORM10KSUMMARY_265220">
              <w:r>
                <w:rPr>
                  <w:rStyle w:val="InternetLink"/>
                  <w:rFonts w:ascii="Times New Roman;Times;serif" w:hAnsi="Times New Roman;Times;serif"/>
                  <w:b w:val="false"/>
                  <w:i w:val="false"/>
                  <w:caps w:val="false"/>
                  <w:smallCaps w:val="false"/>
                  <w:sz w:val="20"/>
                </w:rPr>
                <w:t>Form 10-K Summary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9843" w:type="dxa"/>
            <w:gridSpan w:val="2"/>
            <w:tcBorders/>
            <w:vAlign w:val="center"/>
          </w:tcPr>
          <w:p>
            <w:pPr>
              <w:pStyle w:val="TableContents"/>
              <w:bidi w:val="0"/>
              <w:spacing w:before="240" w:after="0"/>
              <w:ind w:left="0" w:right="0" w:hanging="0"/>
              <w:jc w:val="left"/>
              <w:rPr/>
            </w:pPr>
            <w:hyperlink w:anchor="SIGNATURES_439946">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_83812"/>
      <w:bookmarkStart w:id="44" w:name="_771d8b1a_81bb_48f9_abfa_1205a6460ce0"/>
      <w:bookmarkEnd w:id="43"/>
      <w:bookmarkEnd w:id="44"/>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45" w:name="ITEM1BUSINESS_711310"/>
      <w:bookmarkEnd w:id="45"/>
      <w:r>
        <w:rPr>
          <w:rFonts w:ascii="Times New Roman;Times;serif" w:hAnsi="Times New Roman;Times;serif"/>
          <w:b/>
          <w:sz w:val="20"/>
        </w:rPr>
        <w:t>ITEM 1.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Valmont Industries, Inc., along with its subsidiaries (collectively referred to as the “Company,” “Valmont,” “we,” “us,” or “our”), is a diversified manufacturer of products and services for infrastructure and agriculture markets. Founded in 1946 and headquartered in Omaha, Nebraska, our purpose is to conserve resources and improve life. We have been publicly traded since 1968, with our shares listed on the New York Stock Exchange under the ticker symbol “VMI.”</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reportable segments are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Infrastructure:</w:t>
      </w:r>
      <w:r>
        <w:rPr>
          <w:rFonts w:ascii="Times New Roman;Times;serif" w:hAnsi="Times New Roman;Times;serif"/>
          <w:sz w:val="20"/>
        </w:rPr>
        <w:t xml:space="preserve"> This segment consists of the manufacture and distribution of products and solutions to serve the infrastructure markets of utility, lighting, transportation, telecommunications, and solar, along with coatings services to protect metal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Agriculture:</w:t>
      </w:r>
      <w:r>
        <w:rPr>
          <w:rFonts w:ascii="Times New Roman;Times;serif" w:hAnsi="Times New Roman;Times;serif"/>
          <w:sz w:val="20"/>
        </w:rPr>
        <w:t xml:space="preserve"> This segment consists of the manufacture of center pivot and linear irrigation equipment components for agricultural markets, including aftermarket parts and tubular products, and advanced technology solutions for precision agriculture.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information on the principal products, services, markets, competition, and distribution methods for each of our two reportable segments is provided below.</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Infrastructure Segment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Products and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Utility: </w:t>
            </w:r>
            <w:r>
              <w:rPr>
                <w:rFonts w:ascii="Times New Roman;Times;serif" w:hAnsi="Times New Roman;Times;serif"/>
                <w:b w:val="false"/>
                <w:i w:val="false"/>
                <w:caps w:val="false"/>
                <w:smallCaps w:val="false"/>
                <w:sz w:val="20"/>
              </w:rPr>
              <w:t>We design, engineer, and manufacture structures made of steel, pre-stressed concrete, and composites to support the infrastructure necessary for electrical transmission, substations, and distribution applications within the utility industry. Transmission involves moving high-voltage power from generation sources to consumption points, while substations play a crucial role in transforming electricity to make it suitable for both transmission and distribution to end-users.</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Our scalable solutions feature innovative designs that address the growing demand for reliable energy, especially considering increasing concerns about grid resilience due to natural disasters like fires, storms, and floods. Each project is complex, requiring significant engineering expertise to address various loading conditions and environmental factors. By addressing factors such as wind speeds and specific power line requirements, we contribute to the development of resilient infrastructure that can withstand the challenges of an evolving energy landscape.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Lighting and Transportation (“L&amp;T”):</w:t>
            </w:r>
            <w:r>
              <w:rPr>
                <w:caps w:val="false"/>
                <w:smallCaps w:val="false"/>
              </w:rPr>
              <w:t xml:space="preserve"> </w:t>
            </w:r>
            <w:r>
              <w:rPr>
                <w:rFonts w:ascii="Times New Roman;Times;serif" w:hAnsi="Times New Roman;Times;serif"/>
                <w:b w:val="false"/>
                <w:i w:val="false"/>
                <w:caps w:val="false"/>
                <w:smallCaps w:val="false"/>
                <w:sz w:val="20"/>
              </w:rPr>
              <w:t>We design, engineer, and manufacture poles and structures made of steel, aluminum, wood, and composites to support a wide range of lighting and transportation needs. Our products serve infrastructure, commercial, and residential projects, creating well-lit environments for streets, highways, parking lots, and public spaces, including sports complexes. We prioritize structural requirements and aesthetic appeal, ensuring that our designs comply with local standards and preferences.</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Our offerings include traffic and sign structures that support traffic signals and overhead signage, specifically designed to facilitate efficient traffic flow and enhance public safety. Each structure is meticulously engineered to meet environmental conditions, such as wind and ice, as well as load requirements for lighting fixtures and signage.</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We also provide comprehensive highway safety systems, including guardrail barriers, wire rope safety barriers, and crash attenuation barriers, primarily serving the Australian, Indian, and New Zealand markets. These products are designed to enhance roadway safety, reduce the impact of collisions, and improve driver protection. Our L&amp;T solutions not only meet the technical, aesthetic, and safety requirements of modern infrastructure projects but also contribute to the development of cohesive and functional public spaces.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 xml:space="preserve">Coatings: </w:t>
            </w:r>
            <w:r>
              <w:rPr>
                <w:rFonts w:ascii="Times New Roman;Times;serif" w:hAnsi="Times New Roman;Times;serif"/>
                <w:b w:val="false"/>
                <w:i w:val="false"/>
                <w:caps w:val="false"/>
                <w:smallCaps w:val="false"/>
                <w:sz w:val="20"/>
              </w:rPr>
              <w:t>Our finishing services prevent corrosion, extend product lifespans, and enhance material aesthetics. We offer various finishing options, including galvanizing and painting, tailored to meet the specific needs of diverse applications. Our hot-dip galvanizing process applies a protective zinc coating to steel, creating a protective bond that prevents rust and corrosion, ensuring long-lasting durability. For underground steel installations, our CorroCote</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solution offers added protection against soil and moisture corrosion. Our painting services, including powder coating, provide both aesthetic appeal and durability for various industries. These coating solutions cater to a wide array of industry needs, enhancing performance and extending product life for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Telecommunications:</w:t>
            </w:r>
            <w:r>
              <w:rPr>
                <w:caps w:val="false"/>
                <w:smallCaps w:val="false"/>
              </w:rPr>
              <w:t xml:space="preserve"> </w:t>
            </w:r>
            <w:r>
              <w:rPr>
                <w:rFonts w:ascii="Times New Roman;Times;serif" w:hAnsi="Times New Roman;Times;serif"/>
                <w:b w:val="false"/>
                <w:i w:val="false"/>
                <w:caps w:val="false"/>
                <w:smallCaps w:val="false"/>
                <w:sz w:val="20"/>
              </w:rPr>
              <w:t>We design, manufacture, and distribute a broad range of products for the wireless communication market. Valmont Site Pro 1</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supports wireless carriers and contractors through multiple nationwide warehouses and a catalog of wireless site components including antenna mounts and accessories. Our offering also includes towers, small cell structures, camouflage concealment solutions, and passive intermodulation (“PIM”) mitigation equipment, all essential for meeting the increasing demands of 5G networks and rising data consumption. A typical wireless communication cell site consists of a steel pole or tower, an enclosure for housing radio equipment, antennas for data and voice transmission, and mounting components that connect the antennas to cabling and equipment. Our steel mounting solutions and other products play a vital role in 5G infrastructure expansion. In urban areas, small cell applications help densify networks, enhancing signal strength and coverage. To blend telecommunication structures into their surroundings, we offer concealment solutions, such as faux trees. Our PIM mitigation technology addresses signal interference issues, improving network performance. Each structure is engineered to meet specific customer requirements, considering factors such as equipment and antenna specifications, wind and soil conditions, aesthetic demands, and compliance with safety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Solar:</w:t>
            </w:r>
            <w:r>
              <w:rPr>
                <w:caps w:val="false"/>
                <w:smallCaps w:val="false"/>
              </w:rPr>
              <w:t xml:space="preserve"> </w:t>
            </w:r>
            <w:r>
              <w:rPr>
                <w:rFonts w:ascii="Times New Roman;Times;serif" w:hAnsi="Times New Roman;Times;serif"/>
                <w:b w:val="false"/>
                <w:i w:val="false"/>
                <w:caps w:val="false"/>
                <w:smallCaps w:val="false"/>
                <w:sz w:val="20"/>
              </w:rPr>
              <w:t>Our single-axis solar tracker is a fully integrated system that combines steel structures, electric motors, and electronic controllers. This tracker adjusts the position of solar panels throughout the day to maintain optimal alignment with the sun, significantly enhancing energy production. Our trackers feature a modular design, enabling easy installation and minimal maintenance. Additionally, their flexible design maximizes site utilization, making them particularly advantageous for solar projects developed in challenging locations. Our customers include engineering, procurement, and construction firms specializing in solar energy projects, as well as solar developers, independent power producers, and utilities.</w:t>
            </w:r>
          </w:p>
        </w:tc>
      </w:tr>
    </w:tbl>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key markets for our Infrastructure product lines benefit from various local, state, and federal government funding initiatives. Notably, the United States (“U.S.”) government is advancing long-term infrastructure improvements through the Infrastructure Investment and Jobs Act (“IIJA”) and the Inflation Reduction Act (“IRA”). These programs are intended to allocate resources to enhance the nation’s bridges, ensure public safety, update essential infrastructure, improve highway safety, and modernize the electrical grid to meet growing energy demands and support grid resiliency.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significant market for our Infrastructure segment is the utility industry in North America, which is increasing investment in critical electrical grid upgrades to improve reliability, integrate renewable energy sources, and expand transmission capacity. Increasing electricity consumption, an aging grid, and the expansion of renewable energy sources have intensified the need for enhanced transmission infrastructure, which has historically struggled to keep pace with demand. According to the Edison Electric Institute, substantial investments will be required for the U.S. electrical transmission grid, particularly to replace aging assets and support electrification trends across industries. In response, we are strategically investing in our manufacturing capabilities to increase flexible production capacity. International markets are also experiencing rising electricity consumption, driven by urbanization, industrial growth, and electrification efforts, fueling demand for new electricity generation capacity and expanded transmission grids. In addition, demand from data center construction is increasing as cloud computing, artificial intelligence, and digitalization drive the need for reliable power infrastructure, transmission capacity, and grid resiliency to support energy-intensive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serve the transportation, commercial construction, and industrial markets. Our transportation product portfolio includes traffic structures, roadway and street lighting, and high-mast lighting. In the U.S., funding for transportation projects comes from a combination of state and federal sources, including the IIJA, which provides multi-year support for infrastructure investments. Public-private partnerships are also emerging as a viable funding option for major transportation projects. Improving traffic flow through efficient control measures and modern lighting solutions has become a key priority for many communities and government agencies.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commercial construction market, which is predominantly privately funded, includes lighting for a variety of applications, such as parking lots, shopping centers, sports stadiums, and business parks. This market is influenced by macroeconomic factors, including overall economic growth, interest rates, and urban development trends. We have established long-term relationships with lighting and equipment manufacturers serving this market. Meanwhile, the industrial market is typically driven by investments in infrastructure, industrial facilities, and commercial construction.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Coatings business serves diverse markets and is not reliant on any single industry or external customer for profitability. A significant portion of demand comes from our internal operations, supporting other product lines. The demand for coatings services generally correlates with local industrial economic activity. Galvanizing remains essential for industrial applications that require corrosion protection for steel. Demand for painted products is more closely tied to consumer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Telecommunications market is driven by growing demand for wireless communication and data services, including rapid increases in data consumption across mobile and connected devices. Our customers include wireless carriers, cell site operators, electric utilities, and state and federal agencies that require products for two-way radio communication, radar, broadcasting, and security applications. The continued expansion of 5G networks and rising connectivity and data usage needs are fueling long-term growth, requiring higher network density.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Solar market is driven by the global shift towards renewable energy adoption and incentives for clean energy investments.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competitive strategy focuses on delivering high-value, innovative solutions to customers at market prices, emphasizing product quality, engineering expertise, exceptional customer service, and the timely, accurate delivery of our products. To achieve this, we leverage the production capacity across our extensive network of facilities, ensuring both quality and efficient service delivery.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competitive landscape is dynamic, with numerous players operating in both North American and international markets. Pricing competition can be particularly intense during periods of weak demand or when fluctuations in local currencies create advantages for imported products. In the Infrastructure sector, sales are often determined through competitive bidding processes, with contracts awarded to the lowest bidder that meets all necessary qualifications. To maintain strong customer relationships, we establish preferred-provider arrangements with certain key customers, typically lasting between three to five years and often renewed.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Coatings market is traditionally fragmented, consisting of many smaller, privately held companies competing on price and established customer relationships. Our strategy for this product line focuses on delivering high-quality coating finishes, superior service, and timely delivery of coated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Solar product line, we primarily compete with other mid-sized market participants.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Distribution Methods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Infrastructure products are distributed through a combination of direct sales force and commissioned agents. Our sales team works closely with end-users and distributors, representing Valmont as well as light fixture and traffic signal manufacturers. This collaborative approach enables our agents to deliver a comprehensive package that includes poles, fixtures, and other equipment directly to the end-user. Commercial lighting, wireless communication, access systems, and highway safety products are sold by our internal sales teams or through independent commissioned agents. Utility and Solar products are typically sold directly to electrical utilities, developers, or energy providers, though some transactions are facilitated through commissioned sales agents.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high cost of freight, our galvanizing services are generally limited to a radius of about 300 to 500 miles. Although we are one of the larger custom galvanizers globally, our sales account for only a small fraction of the overall galvanizing market. Each galvanizing location is supported by a dedicated sales team, ensuring personalized attention and responsiveness to our clients’ needs.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Agriculture Segment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Products and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Irrigation Equipment and Parts:</w:t>
            </w:r>
            <w:r>
              <w:rPr>
                <w:caps w:val="false"/>
                <w:smallCaps w:val="false"/>
              </w:rPr>
              <w:t xml:space="preserve"> </w:t>
            </w:r>
            <w:r>
              <w:rPr>
                <w:rFonts w:ascii="Times New Roman;Times;serif" w:hAnsi="Times New Roman;Times;serif"/>
                <w:b w:val="false"/>
                <w:i w:val="false"/>
                <w:caps w:val="false"/>
                <w:smallCaps w:val="false"/>
                <w:sz w:val="20"/>
              </w:rPr>
              <w:t>Under our Valley</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brand, we manufacture and distribute center pivot and lateral move irrigation equipment, along with service parts, to enhance agricultural productivity. Our irrigation machines, powered by electricity—whether sourced from the grid, solar panels, or diesel generators—are engineered to move across farm fields, while conserving water, energy, and labor. These machines typically consist of a pipeline supported by a series of towers, each equipped with a drivetrain and tires for mobility.</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The most common type of mechanized irrigation machine is the center pivot, which rotates in a circular pattern. To accommodate different field shapes, we offer corner machines that irrigate the corners of square or rectangular fields. Additionally, linear machines move vertically across fields rather than rotating, offering versatility for a variety of field layouts. Our irrigation systems are highly customizable, capable of servicing fields from four to over 500 acres, with the standard configuration in the U.S. designed for a 160-acre tract. For international markets, our irrigation machines are largely consistent with those produced for North America, ensuring uniform quality and functionality. In addition to irrigation equipment, we also produce tubular products, primarily for industrial customers in the agriculture, transportation, and steel service sectors.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Technology Products and Services:</w:t>
            </w:r>
            <w:r>
              <w:rPr>
                <w:caps w:val="false"/>
                <w:smallCaps w:val="false"/>
              </w:rPr>
              <w:t xml:space="preserve"> </w:t>
            </w:r>
            <w:r>
              <w:rPr>
                <w:rFonts w:ascii="Times New Roman;Times;serif" w:hAnsi="Times New Roman;Times;serif"/>
                <w:b w:val="false"/>
                <w:i w:val="false"/>
                <w:caps w:val="false"/>
                <w:smallCaps w:val="false"/>
                <w:sz w:val="20"/>
              </w:rPr>
              <w:t>We offer a comprehensive suite of technology solutions designed to enhance agricultural efficiency through advanced monitoring, analysis, and automation. With over 175,000 connected devices, our technology solutions help farmers detect potential field issues early while optimizing water and energy use.</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We leverage this expertise to focus on irrigation optimization, machine health advancements, and predictive analytics. As pioneers of the mechanized irrigation industry, we maintain our leadership in innovation and remain at the forefront of integrating these technologies with our cloud-based platform. This approach delivers data-driven irrigation strategies tailored to each field and crop.</w:t>
      </w:r>
    </w:p>
    <w:p>
      <w:pPr>
        <w:pStyle w:val="TextBody"/>
        <w:bidi w:val="0"/>
        <w:spacing w:lineRule="auto" w:line="240" w:before="0" w:after="240"/>
        <w:ind w:left="1080" w:right="0" w:hanging="0"/>
        <w:jc w:val="left"/>
        <w:rPr>
          <w:rFonts w:ascii="Times New Roman;Times;serif" w:hAnsi="Times New Roman;Times;serif"/>
          <w:sz w:val="20"/>
        </w:rPr>
      </w:pPr>
      <w:r>
        <w:rPr>
          <w:rFonts w:ascii="Times New Roman;Times;serif" w:hAnsi="Times New Roman;Times;serif"/>
          <w:sz w:val="20"/>
        </w:rPr>
        <w:t>With AgSense</w:t>
      </w:r>
      <w:r>
        <w:rPr>
          <w:rFonts w:ascii="Times New Roman;Times;serif" w:hAnsi="Times New Roman;Times;serif"/>
          <w:sz w:val="15"/>
        </w:rPr>
        <w:t>®</w:t>
      </w:r>
      <w:r>
        <w:rPr>
          <w:rFonts w:ascii="Times New Roman;Times;serif" w:hAnsi="Times New Roman;Times;serif"/>
          <w:sz w:val="20"/>
        </w:rPr>
        <w:t xml:space="preserve"> remote monitoring and control, growers can manage irrigation and ancillary equipment in real time, optimizing operations based on weather conditions, soil moisture levels, and crop needs. These tools promote efficient water use, reduce waste, and help maintain optimal growing conditions. By providing actionable data insights, we empower growers to maximize productivity while conserving valuable resources.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 drivers for mechanized irrigation systems are fundamentally similar across North American and international regions. Purchasing an irrigation system is a capital investment, with decisions based on the anticipated return on investment. Growers who invest in mechanized irrigation systems benefit from higher crop yields due to improved irrigation practices, reduced labor costs, and lower water and energy consumption. Key factors influencing these purchasing decisions include current and projected net farm income, commodity prices, interest rates, government support programs, financing availability, and regional water regulations. In many international markets, local currency fluctuations relative to the U.S. dollar can impact net farm income, as export markets are often denominated in U.S. dollars. Additionally, government-sponsored irrigation initiatives aimed at food security further drive investments in mechanized irrigation systems.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demand for mechanized irrigation arises from several sources: the conversion of traditional flood irrigation systems, the replacement of older mechanized systems that are beyond their useful life or technologically obsolete, and the transition from non-irrigated land to mechanized irrigation. Water scarcity is a key driver of demand in our Agriculture segment. With agriculture consuming the majority of available freshwater, efficient irrigation is essential for sustainable food production.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mechanized irrigation can improve water application efficiency compared to traditional methods by delivering water uniformly to the root zone and minimizing runoff. Reduced runoff not only conserves water but also improves the quality of adjacent rivers, aquifers, and streams, contributing environmental benefits and supporting vital water conservation efforts.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North America, several companies provide irrigation products and services for agricultural customers. Our company is recognized as the leader among the main participants in the mechanized irrigation industry. Competitors differentiate themselves based on product durability, reliability, pricing and value proposition, quality, and the service capabilities of local dealers. To help growers improve crop yields, we continuously innovate and expand our technology offerings to meet evolving customer needs.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Pricing in the industry can become highly competitive, particularly during periods of low demand. In international markets, our competition includes both major U.S. companies and privately owned local businesses. While the global competitive landscape is similar to that of North America, pricing often plays a more critical role. Recognizing the local nature of competition in international markets, we maintain manufacturing facilities in key regions, which enables us to compete effectively and meet region-specific demands.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Distribution Methods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market our irrigation machines, technology offerings, and service parts through an extensive network of independent dealers. In North America, approximately 250 dealer locations serve our customers, with around 400 dealer locations covering international markets across more than 60 countries. Dealers assess growers’ needs, customize machine configurations, manage installation (including water and power systems), and provide ongoing support.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ensure dealers can meet customer needs effectively, our technical and sales teams provide ongoing training and support. Internationally, our dealers receive additional support through regional operations in South America, South Africa, Western Europe, Australia, China, and the United Arab Emirates, as well as our manufacturing facility in Valley, Nebraska. This support structure allows us to deliver tailored solutions and maintain strong, lasting relationships with customers worldwide.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information generally applicable to our two reportable segments is outlined below.</w:t>
      </w:r>
    </w:p>
    <w:p>
      <w:pPr>
        <w:pStyle w:val="TextBody"/>
        <w:bidi w:val="0"/>
        <w:spacing w:before="0" w:after="240"/>
        <w:ind w:left="720" w:right="0" w:hanging="0"/>
        <w:jc w:val="left"/>
        <w:rPr>
          <w:rFonts w:ascii="Times New Roman;Times;serif" w:hAnsi="Times New Roman;Times;serif"/>
          <w:b w:val="false"/>
          <w:i/>
          <w:sz w:val="20"/>
        </w:rPr>
      </w:pPr>
      <w:r>
        <w:rPr>
          <w:rFonts w:ascii="Times New Roman;Times;serif" w:hAnsi="Times New Roman;Times;serif"/>
          <w:b w:val="false"/>
          <w:i/>
          <w:sz w:val="20"/>
        </w:rPr>
        <w:t>Acquisitions and Divestitures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achieved growth both organically and through acquisitions. Additionally, we continually refine our portfolio to enhance our operational focus. Our significant business acquisitions and divestitures during the past three fiscal years included the following (with the relevant segment noted):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remaining 40% of ConcealFab, Inc., a 5G infrastructure and PIM mitigation solutions company in Colorado included in the Infrastructure segment, for $81.8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remaining 45% of Solbras Energia Solar do Brasil S.A., a leading provider of solar energy solutions for agriculture in Brazil included in the Agriculture segment, for $14.2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an additional approximately 30% of Valmont Irrigation Argentina B.V., an irrigation equipment distributor in Argentina included in the Agriculture segment, for $14.6 million</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2024</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an additional approximately 9% of ConcealFab, Inc., a 5G infrastructure and PIM mitigation solutions company in Colorado included in the Infrastructure segment, for $7.2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remaining 25% of Valmont Substations, LLC, a utility substation product provider in Kansas included in the Infrastructure segment, for $10.5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Divested our extractive business, which included the manufacturing and distribution of screening products for the mining and quarrying sectors in Australia and New Zealand previously included in the Infrastructure segment, for $3.3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Divested George Industries, a coating and anodizing company in California previously included in the Infrastructure segment, for $0.5 million</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20"/>
        <w:ind w:left="720" w:right="0" w:hanging="360"/>
        <w:jc w:val="left"/>
        <w:rPr>
          <w:rFonts w:ascii="Times New Roman;Times;serif" w:hAnsi="Times New Roman;Times;serif"/>
          <w:sz w:val="20"/>
        </w:rPr>
      </w:pPr>
      <w:r>
        <w:rPr>
          <w:rFonts w:ascii="Times New Roman;Times;serif" w:hAnsi="Times New Roman;Times;serif"/>
          <w:sz w:val="20"/>
        </w:rPr>
        <w:t>2023</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HR Products, a leading wholesale supplier of irrigation parts in Australia included in the Agriculture segment, for $37.3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Divested Torrent Engineering and Equipment Company, LLC, an integrator of prepackaged pump stations in Indiana previously included in the Infrastructure segment, for $6.4 million</w:t>
            </w:r>
          </w:p>
        </w:tc>
      </w:tr>
    </w:tbl>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Suppliers and Availability of Raw Materials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primary raw materials include hot-rolled steel coil and plate, zinc, and other carbon steel products, all essential for manufacturing across our segments. We source these materials from steel mills, steel service centers, and zinc producers, where they are generally readily available. However, ever-changing trade policies and tariffs could increase the cost of goods purchased from Canada, China, and Mexico, among other countries, potentially disrupting the availability of these key raw materials. While we may experience longer lead times and price fluctuations, we do not anticipate extended shortages of steel, zinc, or natural gas. Over the past several years, we have maintained strong relationships with major steel producers and have strategically sourced steel within the same continent as our manufacturing locations, helping us avoid significant or widespread shortages.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Patents, Licenses, Franchises, and Concessions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hold patents for a variety of products, including manufacturing machinery, structures, solar trackers, highway guardrails, and irrigation systems. Additionally, we have registered trademarks associated with our products and services. While these intellectual properties are valuable to our business, we do not believe that the loss of any single patent or trademark would materially impact our financial condition, results of operations, or liquidity.</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Seasonal Factors in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in our business can be influenced by seasonal patterns tied to the agricultural growing season and the infrastructure construction season. For mechanized irrigation equipment, sales typically peak in spring and fall, aligning with farmers’ planting and harvesting periods, and are generally lower in the summer. In contrast, sales of infrastructure products tend to increase during the summer and fall, in line with the construction season, and are usually lower in the winter.</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does not depend on a single customer or a limited number of customers to generate a significant portion of revenue in any segment. As such, the loss of any one customer would not materially impact our financial condition, results of operations, or liquidity.</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Backlog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our backlog of orders for principal products was $1,653.7 million, compared to $1,436.7 million as of December 28, 2024. Backlog includes confirmed customer purchase orders and executed sales order contracts. We expect the majority of our backlog as of December 27, 2025 to be fulfilled during fiscal 2026. The total backlog by segment as of December 27, 2025 and December 28, 2024 was as follows:</w:t>
      </w:r>
    </w:p>
    <w:tbl>
      <w:tblPr>
        <w:tblW w:w="4488" w:type="dxa"/>
        <w:jc w:val="left"/>
        <w:tblInd w:w="0" w:type="dxa"/>
        <w:tblLayout w:type="fixed"/>
        <w:tblCellMar>
          <w:top w:w="0" w:type="dxa"/>
          <w:left w:w="0" w:type="dxa"/>
          <w:bottom w:w="0" w:type="dxa"/>
          <w:right w:w="0" w:type="dxa"/>
        </w:tblCellMar>
      </w:tblPr>
      <w:tblGrid>
        <w:gridCol w:w="1471"/>
        <w:gridCol w:w="346"/>
        <w:gridCol w:w="264"/>
        <w:gridCol w:w="876"/>
        <w:gridCol w:w="346"/>
        <w:gridCol w:w="245"/>
        <w:gridCol w:w="940"/>
      </w:tblGrid>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millions</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1,548.3</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1,273.3</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105.4</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backlog</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1,653.7</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1,436.7</w:t>
            </w:r>
          </w:p>
        </w:tc>
      </w:tr>
    </w:tbl>
    <w:p>
      <w:pPr>
        <w:pStyle w:val="TextBody"/>
        <w:bidi w:val="0"/>
        <w:spacing w:before="240" w:after="240"/>
        <w:ind w:left="720" w:right="0" w:hanging="0"/>
        <w:jc w:val="left"/>
        <w:rPr>
          <w:rFonts w:ascii="Times New Roman;Times;serif" w:hAnsi="Times New Roman;Times;serif"/>
          <w:i/>
          <w:sz w:val="20"/>
        </w:rPr>
      </w:pPr>
      <w:r>
        <w:rPr>
          <w:rFonts w:ascii="Times New Roman;Times;serif" w:hAnsi="Times New Roman;Times;serif"/>
          <w:i/>
          <w:sz w:val="20"/>
        </w:rPr>
        <w:t>Environmental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a range of federal, state, and local laws and regulations concerning environmental protection and the discharge of materials into the environment. Although we regularly incur expenses and make capital expenditures related to environmental compliance, we do not anticipate that these future expenditures will materially impact our financial condition, results of operations, or liquidity.</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Number of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had a total of 10,791 employees.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Human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approach to human capital resources is outlined in our Code of Business Conduct, in our Human Rights Policy, and on our website at www.valmont.com. A company-wide commitment to customer service and innovation is essential to our success and enables us to deliver value to our customers. Our employees are the foundation of our achievements, and we foster a culture of passion, integrity, and accountability that encourages employees to excel while upholding high ethical standards and delivering business results. We expect each employee to act responsibly, be accountable for their actions, and to treat one another with fairness and respect.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meet customer demands, support sales growth, and maintain a competitive position, we rely on a skilled workforce and effective management. Key skills across our operations include engineering, welding, equipment maintenance, and the operation of complex manufacturing machinery. Strong management talent is critical to business growth and succession planning, particularly as experienced employees approach retirement. As of December 27, 2025, we employed 6,294 individuals in the U.S. and 4,497 internationally.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job openings arise, we prioritize internal candidates, providing career advancement opportunities to qualified employees within our organization. Employees are our most valuable resource, and we prioritize succession planning and management development across the enterprise. The Chief Executive Officer regularly reports on these initiatives to the Board of Directors as part of our leadership and talent oversight processes.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the importance of diversity and inclusion in fostering a workforce that reflects a broad range of perspectives and experiences. We value the contributions of a diverse workforce, and seek employees who support a strong, inclusive culture and sustainable business outcomes. Our Human Rights Policy, available on our website, outlines our expectations that employees, suppliers, vendors, dealers, and distributors respect and uphold our commitment to human rights. We prohibit discrimination based on age, race, disability, ethnicity, marital or family status, national origin, religion, gender, sexual orientation, veteran status, gender identity, or any other legally protected characteristic.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committed to voluntary employment and strictly prohibit all forms of compulsory labor, including child labor, forced labor, slavery, and human trafficking. Our human rights practices are informed by the United Nations Guiding Principles on Business and Human Rights, and we comply with applicable wage, work hours, overtime, and benefits laws. We emphasize a healthy, safe, and well-supported workplace, and provide employees with confidential reporting channels through a secure third-party platform. We offer market-competitive compensation and benefits programs that vary by country and are designed to comply with local legal requirements and support employee well-being. In the U.S., this includes access to health insurance, paid and unpaid leave, retirement plans, and coverage for life, disability, and accidents.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additional information, please refer to the “Corporate Governance” and “Sustainability” sections on our website, and the “Governance, Human Capital and Sustainability Highlights” section in our Proxy Statement.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Available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a variety of financial reports and disclosures free of charge on the “Investors” page of our website at www.valmont.com. These materials include our annual reports on Form 10-K, quarterly reports on Form 10-Q, current reports on Form 8-K, and any amendments to these reports filed or furnished under Section 13(a) or 15(d) of the Securities Exchange Act of 1934. Reports are made available as soon as reasonably practicable after being electronically filed with or furnished to the Securities and Exchange Commission (“SEC”).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our website serves as a primary channel for distributing important information, including news releases, analyst presentations, and financial data. Please note that the information on our website is not, and will not be considered, part of this annual report on Form 10-K or incorporated into any other SEC filings.</w:t>
      </w:r>
    </w:p>
    <w:p>
      <w:pPr>
        <w:pStyle w:val="TextBody"/>
        <w:bidi w:val="0"/>
        <w:spacing w:before="0" w:after="240"/>
        <w:ind w:left="0" w:right="0" w:hanging="0"/>
        <w:jc w:val="left"/>
        <w:rPr>
          <w:rFonts w:ascii="Times New Roman;Times;serif" w:hAnsi="Times New Roman;Times;serif"/>
          <w:b/>
          <w:sz w:val="20"/>
        </w:rPr>
      </w:pPr>
      <w:bookmarkStart w:id="46" w:name="ITEM1ARISKFACTORS_18348"/>
      <w:bookmarkStart w:id="47" w:name="_dbe38ac3_211e_4baf_8102_aacca884aeb3"/>
      <w:bookmarkEnd w:id="46"/>
      <w:bookmarkEnd w:id="47"/>
      <w:r>
        <w:rPr>
          <w:rFonts w:ascii="Times New Roman;Times;serif" w:hAnsi="Times New Roman;Times;serif"/>
          <w:b/>
          <w:sz w:val="20"/>
        </w:rPr>
        <w:t>ITEM 1A. 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risk factors describe various risks that may affect our business, financial condition, and operations.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Economic and Business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ultimate consumers of our products operate in cyclical industries, which have experienced significant downturns that have adversely impacted our sales in the past and may do so again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sales are sensitive to market conditions in the industries where the ultimate consumers of our products operate. In some cases, these industries have been highly cyclical and subject to substantial downturns. For example, a significant portion of our sales of support structures is to the electric utility industry. In fiscal 2025, our sales to the U.S. electric utility industry were approximately $1.5 billion. Utilities may defer purchases of our products by reducing capital expenditures for reasons such as unfavorable regulatory environments, a slow U.S. economy, or financing constraints. If demand for utility structures weakens due to reduced or delayed spending on electrical generation and transmission projects, our sales and operating income are likely to decrease.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end-users of our mechanized irrigation equipment are farmers. Economic changes within the agriculture industry, particularly fluctuations in farm income, can impact sales of these products. Lower levels of farm income have, at times, led to reduced demand for our mechanized irrigation and tubing products. Farm income decreases when commodity prices, acreage planted, crop yields, government subsidies, and export levels decline. Additionally, weather conditions—potentially worsened by climate change, such as extreme drought—can limit water availability for irrigation and influence farmers’ purchasing decisions. Higher input costs for producing crops, including energy, seed, fertilizer, chemicals, labor, equipment, financing, and transportation, increase farmers’ operating expenses. Consequently, our Agriculture segment business has experienced peaks and troughs. For example, since fiscal 2022, net sales in the segment have leveled off after strong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uncertainty regarding future government agricultural policies may lead to indecision among farmers. Changes in government farm support programs, financing aids, and irrigation water use policies can influence the demand for our irrigation equipment. In the U.S., certain regions are considering policies that may restrict water use for irrigation. These factors could prompt farmers to delay capital expenditures for farm equipment, potentially slowing or even reversing growth in irrigation equipment and tubing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experienced cyclical demand for products sold to the wireless communications industry. Sales of wireless structures and components to wireless carriers and build-to-suit companies that serve the industry have historically been cyclical. These customers may reduce spending on new capacity to focus on cash flow and capital management. Changes in the competitive structure of the wireless industry, due to industry consolidation or reorganization, may disrupt the capital plans of wireless carriers as they reassess their networks.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cyclical nature of these markets, we have experienced, and may continue to experience, significant fluctuations in sales and operating income for a substantial portion of our product offerings. These fluctuations could be material and adversely affect our overall financial condition, results of operations,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prices and reduced availability of key commodities such as steel, aluminum, zinc, natural gas, and fuel may increase our operating costs, likely reducing our net sales and profitability.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Hot-rolled steel coil and other carbon steel products have historically represented a substantial portion of the cost to manufacture our products. We also use large quantities of aluminum for lighting structures and zinc for galvanizing most of our steel products. Our facilities consume large amounts of natural gas for heating and processing tanks in our galvanizing operations. Additionally, we use gasoline and diesel fuel to transport raw materials to our locations and deliver finished goods to our customers. The markets for these commodities can be volatile. The following factors increase the cost and reduce the availability of these commodities: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demand, which occurs when we and other industries require greater quantities of these commodities, which can result in higher prices and longer lead times to receive them from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production levels of these commodities, due to reduced production capacities or shortages of materials needed to produce them (such as coke and scrap steel for the production of steel), which could result in reduced supplies, higher costs for us, and increased lead times;</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of major inputs, such as scrap steel, coke, iron ore, and energy;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exchange rates, which can impact the relative cost of these commodities, which may affect the cost-effectiveness of imported materials and limit our options for acquiring them; and</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trade disputes, import duties, tariffs, and quotas, as we import some steel and aluminum components and products for various product lines.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Increases in the selling prices of our products may not fully recover higher commodity costs and generally lag increases in these costs. Consequently, an increase in commodity prices will increase our operating costs and likely reduce our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Rising steel prices can put pressure on gross profit margins, especially in our Infrastructure segment product lines. The time between the release of a customer’s purchase order and the manufacturing of the product can span several months. Since some sales in the Infrastructure segment are fixed-price contracts, rapid increases in steel costs likely result in lower operating income. Steel prices for both hot-rolled coil and plate can also decrease substantially in a given period. Steel is particularly significant for our Utility product line, where the cost of steel has accounted for approximately 50% of net sales on average. Assuming a similar sales mix, a hypothetical 20% change in the price of steel would have affected our net sales in this product line by approximately $110.0 million for the fiscal year ended December 27, 2025.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steel prices can result from changes in global steel production, trade policies, and shifting consumption patterns. The speed with which steel suppliers impose price increases on us may prevent us from fully recovering these price increases, particularly in our L&amp;T and Utility businesses. Similarly, decreases in steel prices can result in reduced operating margins in our Utility businesses due to long production lead times.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effectively manage the procurement and inventory of key components and raw materials may be adversely affected by supply disruptions and demand volatility, which could reduce our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Agriculture and Infrastructure businesses are subject to pronounced business cycles and, at times, sudden changes in customer demand. Our operating results depend in part on our ability to accurately forecast demand and procure inventories that align with production schedules and customer delivery requirements. In recent years, global supply chain disruptions and availability constraints for certain components and raw materials have adversely affected our ability to manage inventory efficiently.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mitigate the risk of supply disruptions, we may increase inventory levels for certain components or materials. While this strategy may support continuity of operations, it also increases the risk that inventories may become excess or obsolete if customer demand weakens, forecasts fail to materialize, or customers delay or cancel orders due to adverse conditions in their end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determine that inventory is excess or obsolete, we would be required to record inventory reserve charges or write-offs, which could adversely affect our gross margins, operating results, and financial condition. These risks may be exacerbated during periods of economic uncertainty or rapid changes in market conditions.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Demand for our infrastructure products, including coating services, is highly dependent on overall infrastructure spending.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manufacture and distribute engineered infrastructure products for lighting, traffic, utility, and other specialty applications. Our Coatings product line serves various construction</w:t>
        <w:noBreakHyphen/>
        <w:t>related industries. Because these products are primarily used in infrastructure projects, sales are closely tied to construction activity, which has historically been cyclical. Several factors can impact construction activity and, consequently, our sales, including:</w:t>
      </w:r>
    </w:p>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weakness in the general economy, which may reduce tax revenues and limit funds available for construction;</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increases, which raise the cost of construction financing; and</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 which can delay or slow construction activity.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current economic uncertainty in the U.S. and Europe may negatively affect our business. In our L&amp;T product line, some lighting structure sales depend on new residential and commercial developments. When construction in these sectors slows, our light pole sales may decline. Additionally, an economic downturn in Europe, Australia, or China could reduce demand if customers in these regions face credit challenges.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Infrastructure segment, particularly for lighting, transportation, and highway safety products, relies heavily on government funding. U.S. federal funding initiatives, such as the IIJA and IRA, bolster long-term demand for our products. However, the timing and distribution of federal infrastructure funds remain uncertain. Infrastructure spending may also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decline due to factors beyond our control, including budget constraints, reduced tax revenues, and legislative delays affecting appropriations.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currency fluctuations from our international sales, which can negatively impact our reported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sell our products in many countries worldwide, with approximately 28% of our fiscal 2025 net sales occurring outside the U.S. These sales are often conducted in foreign currencies, primarily the Australian dollar, Brazilian real, Chinese renminbi, euro, and Indian rupee. Because our Consolidated Financial Statements are denominated in U.S. dollars, fluctuations in exchange rates between the U.S. dollar and these currencies will continue to impact our reported earnings. A weaker U.S. dollar enhances our reported earnings by increasing the value of foreign revenues, whereas a stronger U.S. dollar has the opposite effect. Currency fluctuations have affected our financial performance in the past and may continue to do so in future periods. Additionally, when local currencies strengthen, the cost of imported goods decreases, potentially affecting our ability to compete profitably in domestic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face risks from foreign exchange controls and currency devaluations. Foreign exchange controls may limit currency conversion and restrict our ability to transfer funds from international subsidiaries. Currency devaluations can reduce the value of funds held in the affected currency. Such actions could materially and adversely impact our results of operations and financial condition in any given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Adverse economic conditions, particularly in certain international markets, could impair the collectability of our accounts receivable and adversely affect our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Adverse economic conditions in certain international regions, most notably Brazil, may increase our exposure to credit losses resulting from financial distress, insolvency, or potential bankruptcy of our Agriculture or Infrastructure customers. Under these conditions, customers may delay payments or be unable to meet their obligations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accounts receivable are stated at net estimated realizable value, and our allowance for credit losses is based on management’s judgment and estimates, including receivable aging, the creditworthiness of significant individual customers, historical loss experience, and current and forecasted economic conditions. These estimates may not accurately predict actual future credit losses, particularly during periods of heightened economic uncertainty or rapid deterioration in customer financial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assumptions regarding customer credit risk or economic conditions prove inaccurate, or if adverse conditions persist or worsen, we may be required to record additional provisions for credit losses, which could adversely affect our operating results, financial condition, and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further discussion on economic and business risks, including interest rates, foreign currency exchange rates, and commodity prices, please refer to the “Market Risk” section within “Management’s Discussion and Analysis of Financial Condition and Results of Operations” in Part II, Item 7 of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Regulatory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are subject to trade policies, tariffs, and trade agreements, and further changes could adversely affect our business, potentially reducing sales, increasing costs, or resulting in the loss of certain foreign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global manufacturing company, we operate over 80 manufacturing facilities across six continents and approximately 28% of our fiscal 2025 net sales were generated outside the U.S. Our demand, cost structure, and profitability are influenced by global trade relations. We maintain significant manufacturing operations in Australia, Brazil, Europe, and Mexico—regions that may be affected by changes in U.S. and foreign trade policies, including tariffs on a broad range of imports and retaliatory measures imposed by foreign governments, such as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Recent and ongoing tariff actions affecting steel, aluminum, and goods imported from Canada, China, and Mexico, have increased uncertainty regarding the cost and availability of raw materials and components critical to our manufacturing operations. These actions, as well as any future changes in tariffs, trade agreements, or the imposition of new protectionist or retaliatory measures, could increase our cost of goods sold, reduce margins, disrupt supply chains, or adversely affect our financial results.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retaliatory trade actions by China, such as tariffs on imported U.S. soybeans, may continue to pressure U.S. farm income. Because reduced farm income can directly affect growers’ purchasing decisions, including for mechanized irrigation equipment, these trade dynamics may negatively impact demand for our products in the U.S. agricultural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Several of our international operations are located in regions experiencing political or economic instability. In particular, certain countries within our Caribbean and Latin America (“CALA”) region, such as Brazil and Argentina, continue to face economic volatility, inflationary pressures, and uncertain regulatory environments, all of which can affect demand, foreign currency cash flows, and financial results. We also operate in areas with heightened geopolitical risk, such as the Middle East.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Managing operations across diverse geographic markets also requires hiring, training, and retaining skilled local management, which affects operational performance and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international sales remain a significant portion of our business, our foreign operations, sales, and profits will continue to be subject to the following risks:</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instability, which may reduce the value of or lead to the loss of our investment;</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recessions or volatility in key markets, including within our CALA region, that may reduce sales;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and public health crises that could disrupt our workforce, manufacturing operations, and sales;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and challenges related to staffing and managing international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violations of local laws or unauthorized management actions that could harm our competitive position or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enforcing intellectual property rights outside the U.S., including patents related to our manufacturing machinery, poles, and irrigation designs;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tariffs, export controls, taxes, and other trade barriers, which may reduce sales and profitability; and</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we face the risk of losing foreign investments or experiencing a significant decline in sales and profits due to the challenges of operating in foreign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the application and enforcement of U.S. trade and tariff laws, including Section 232 tariffs on steel and aluminum content, could increase our costs and adversely affect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manufacture Utility structures in Mexico and ship them to customers in the U.S. While most of the structures we sell to U.S. customers are manufactured domestically, we imported approximately $220.0 million of fabricated steel structures from Mexico into the U.S. during fiscal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U.S. and foreign trade laws and tariffs, including Section 232 tariffs applicable to certain steel and aluminum products and derivative articles. As of June 4, 2025, a 50% tariff is assessed on the steel and aluminum content of certain steel and aluminum imports into the U.S. Although an exemption exists for fabricated structures produced using steel that was melted and poured in the U.S., and the structures produced at our Mexico facility are U.S.-Mexico-Canada Agreement-compliant, changes in the interpretation, application, or availability of these tariffs or exemptions could increase our costs or adversely affect the competitiveness of products manufactured outside the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2026, the U.S. Supreme Court ruled that certain tariffs imposed under the International Emergency Economic Powers Act were invalid, but the decision did not affect existing Section 232 tariffs on steel and aluminum. As a result, there may be increased reliance on, expansion of, or changes to Section 232 tariffs or other trade measures, which could increase our tariff exposure and adversely affect our costs, results of operations, or cash flows. We are continuing to monitor legal developments, potential replacement measures, and related regulatory actions, including newly announced global tariffs on certain foreign goods, and we may be required to adjust our sourcing, pricing, or compliance practices in response to such changes.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U.S. Customs and Border Protection (“CBP”) has increased scrutiny of how Section 232 duties apply to imported products, including the valuation methodologies used to calculate such duties. In February 2026, we received CBP inquiries relating to the valuation methodology applied to historical import entries. These inquiries are ongoing, and no final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determinations have been made. While we believe our valuation methodologies have complied with CBP guidance, CBP may ultimately disagree with our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Adverse determinations could result in additional duties, interest, or penalties related to the entries under review and could require changes to our valuation methodology for future imports, which may increase our ongoing tariff costs. Although CBP has not indicated an intent to do so, it has the authority to review other import entries or initiate broader enforcement actions. Any such actions, or further changes in trade laws, tariff rates, exemptions, or enforcement practices, could adversely affect our results of operations, financial condition,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anti-corruption laws could result in fines, criminal penalties, and harm to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anti-corruption laws, including the U.S. Foreign Corrupt Practices Act, the United Kingdom (“U.K.”) Bribery Act, and other similar regulations. These laws generally prohibit companies and their intermediaries from offering improper payments or anything of value to influence government officials or private individuals to gain a business advantage, regardless of local customs or legality. Global enforcement of anti-corruption laws has increased significantly in recent years. While we have a compliance program designed to mitigate the risk of violations, any breach of these laws could result in criminal or civil penalties, damage to our reputation, and a negative impact on our business, financial condition, and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could incur substantial costs due to violations of, or liabilities under, environmental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facilities and operations are subject to both U.S. and international environmental laws and regulations, including those governing air and water pollution, hazardous waste management and disposal, and contamination cleanup. Noncompliance with these laws or permit requirements could result in fines, civil or criminal penalties, third-party claims for property damage or personal injury, and investigation or remediation costs. Future regulatory changes may also require significant expenditures for compliance.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facilities have operated for many years, during which we, and prior operators, have generated, used, handled, and disposed of hazardous materials. Contaminants have been detected at certain current and former sites, primarily linked to historical operations. Additionally, we have occasionally been identified as a potentially responsible party under Superfund or similar state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have recorded all known environmental obligations in our Consolidated Financial Statements, the discovery of previously unidentified contamination or the need for additional remediation could result in liabilities exceeding our existing provisions. These risks may be heightened at certain galvanizing facilities in the Asia-Pacific region due to the nature of galvanizing processes and the complexity and evolving requirements of local environmental regulations.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successfully commercialize or protect our intellectual property rights may materially impact our business, financial condition,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commercialization and protection of our patents, trademarks, trade secrets, copyrights, proprietary processes, and other technologies are essential to maintaining our competitive position. We rely on patents, trademarks, trade secrets, copyrights, and contractual restrictions to safeguard our intellectual property. However, our ability to successfully commercialize these rights, particularly for emerging technologies, depends on applying the right business strategies.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intellectual property protections may be challenged, invalidated, circumvented, or deemed unenforceable. Third parties may infringe upon or misappropriate our rights, and enforcing them could lead to significant, unrecoverable litigation costs. Failure to effectively commercialize or protect our intellectual property could materially harm our business, financial condition,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been, and may continue to be, involved in litigation or threatened litigation, the outcomes of which can be difficult to predict. These matters can be costly to defend, divert management’s attention, require payment of damages, or restrict our business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face disputes, with and without merit, that may result in significant costs and divert management’s focus and resources, even if the dispute does not proceed to litigation. The outcomes of complex legal proceedings are inherently uncertain. Additionally, complaints filed against us may not specify the damages sought, making it challenging to estimate a potential range of liabilities. Resolving litigation or threatened litigation could result in substantial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payments or agreements that limit our business operations. Even if we are liable in future lawsuits, the costs of defending such actions may be significant and could exceed the coverage limits or remain uncovered by our insurance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accounting principles generally accepted in the U.S., we establish reserves when legal matters become probable and reasonably estimable. As of December 27, 2025, we have reserved, in aggregate, approximately $24.2 million related to these matters. Subsequent developments may impact our assessment of probability or change our previous estimate of certain loss contingencies and require us to make payments in excess of our reserves, which could have an adverse effect on our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Design patent litigation related to guardrails could reduce demand for these products and increase litigation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foreign subsidiaries in India, New Zealand, and Australia manufacture highway safety products primarily for non-U.S. markets and license certain guardrail design patents to third parties. Currently, U.S. product liability lawsuits have been filed against companies that manufacture and install specific guardrail products, some of which involve a foreign subsidiary due to its design patent. This litigation could decrease demand for these products or affect government approvals for their use, both domestically and internationally.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from time to time, maintained a substantial amount of outstanding indebtedness, which could impair our ability to operate our business, respond to changes in our operations, comply with debt covenants, and make debt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had a total of $829.5 million in outstanding indebtedness, of which $65.6 million matures within the next five fiscal years. Additionally, as of December 27, 2025, we had $734.8 million in additional borrowing capacity under our revolving credit facility. We occasionally borrow funds for business acquisitions and share repurchases. At times, our borrowings have been significant, with the majority of our interest</w:t>
        <w:noBreakHyphen/>
        <w:t>bearing debt incurred by U.S. entities.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level of indebtedness may have significant consequences,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obligations under our debt agreements could be impacted. Failure to comply with debt covenants and other requirements, including financial and restructuring terms, could result in a default under our debt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our cash flow from operations will be used to make interest and principal payments, limiting the funds available for operations, working capital, capital expenditures, expansion, and other corporate purposes, including future acquisitions that could benefit our business.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additional financing in the future may be hindered.</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more highly leveraged than our competitors, placing us at a competitive disadvantage.</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flexibility in responding to changes in our business and industry may be constrained.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of leverage may make us more vulnerable in the event of a downturn in our business, industry, or the broader economy.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restrictions and covenants in our debt agreements may limit our ability to secure future financing, make necessary capital expenditures, withstand a downturn in our business or the economy, or conduct essential corporate activities. These covenants could prevent us from capitalizing on emerging business opportunities.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breach of any of these covenants would constitute a default under the relevant debt agreement. If not waived, this could trigger immediate repayment obligations under that agreement and potentially accelerate repayment requirements under other agreements. If this occurs, the debt would become immediately due and payable. We may not have the funds to pay all such debt or to obtain sufficient financing to refinance it. Even if financing is available, the terms may not be favorable.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had $187.1 million in cash and cash equivalents. Approximately 77% of our consolidated cash balance is held outside the U.S. Repatriating funds to meet U.S. cash needs could be subject to legal restrictions, tax liabilities, or contractual limitations. Additionally, as we use cash for acquisitions and other purposes, these factors could have a material adverse effect on our business, financial condition, results of operations, cash flows, and future prospects.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assumed an underfunded pension liability as part of the fiscal 2010 acquisition of Delta Ltd., which may require increased funding and impose restrictions on excess cash usage.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Delta Ltd. sponsors a U.K. defined benefit pension plan (the “Plan”), which, as of December 27, 2025, covered approximately 5,000 former employees, either inactive or retired. The Plan has no active employee members. The funded status measures the difference between the projected benefit obligation and the fair value of the plan assets as of fiscal year end. As of December 27, 2025, the Plan was overfunded by approximately £29.4 million ($39.7 million) for accounting purposes. Under the current agreement with the Plan trustees, we are obligated to provide annual funding of approximately £4.0 million ($5.2 million) depending on the Plan’s funding levels, along with an additional approximately £2.4 million ($3.2 million) for administrative expenses. Although this funding obligation was factored into the acquisition price of Delta, the Plan’s funding status may still have adverse effects on the combined company,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 laws and regulations typically require the Plan trustees to agree on a new funding plan every three years, with the most recent plan established in fiscal 2025. Changes in actuarial assumptions, such as discount rates, inflation, interest rates, investment returns, and mortality projections, could reduce the Plan’s funded position, requiring higher contributions to cover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government regulates the Plan, and its trustees represent the interests of covered workers. Under certain circumstances, regulations could trigger an immediate funding obligation significantly greater than the asset recognized for accounting purposes as of December 27, 2025. This obligation, calculated based on the cost of purchasing annuities to cover liabilities, could impact our ability to finance business growth or meet other financial commitments.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businesses rely on skilled labor and management talent, and we may face challenges in attracting and retaining qualified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Skilled factory workers and management are essential to meeting customer needs, driving sales growth, and maintaining competitive advantages. In some regions, shortages of workers with specific skills, such as welding, equipment maintenance, and operating complex machinery, have increased labor costs. Equally important is management talent, which is crucial for business growth and effective succession planning as key employees retire. In certain regions, it may be difficult to find skilled management for specific roles. If we struggle to attract and retain these critical skills, it could negatively impact our ability to grow profitably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strong competition in the markets we serve.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experience competitive pressures from various companies across all our markets. Our competitors include both companies offering similar technologies and those providing alternative solutions. These competitors range from international and national manufacturers to local ones, some of which may have greater financial, manufacturing, marketing, and technical resources, or deeper penetration and familiarity with specific geographic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certain competitors, particularly in our Utility and Telecommunications product lines, have sought bankruptcy protection in recent years. If they emerge with reduced debt obligations, they may be able to operate at lower prices, putting pressure on our margins. Some customers have also shifted manufacturing or sourcing operations overseas, negatively impacting our sales of galvanizing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remain competitive, we must invest in our manufacturing capabilities, product development, customer service, and our information technology systems and networks, including artificial intelligence. Ineffective implementation, integration, or adoption of these technologies within our business operations and decision-making processes could reduce productivity, widen talent gaps, and diminish our competitive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times, we may need to adjust pricing, particularly for customers in struggling industries. However, we cannot guarantee our competitive position in all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use of artificial intelligence presents risks and challenges that may adversely impact our business and operating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adopt and integrate generative artificial intelligence and machine learning (collectively, “AI”) tools into our operations to enhance efficiencies and streamline existing systems. However, the development, implementation, and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maintenance of AI tools may entail substantial risks. While these tools hold promise in optimizing processes and improving productivity, they may also produce inaccurate or biased outputs, infringe upon or misappropriate intellectual property, or expose us to data privacy, cybersecurity, and regulatory compliance risks. In addition, evolving legal, regulatory, and ethical standards governing the use of AI may increase compliance costs or limit our ability to deploy these technologies effectively. If we are unable to manage these risks, our business, financial condition, or results of operations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achieve the improved operating results we anticipate from future acquisitions, and we may face difficulties integrating the acquired businesses or inherit significant liabilities associated with them.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regularly explore opportunities to acquire businesses that align with our core competencies, some of which may be material to us. We expect these acquisitions to result in better operating performance than we would otherwise achieve. However, we cannot guarantee that this expectation will be realized for any given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acquisitions may present significant challenges for our management, requiring considerable time and resources to integrate key aspects of the acquired business, such as management, employees, information systems, accounting controls, personnel, and administrative functions, into Valmont. We may struggle to fully integrate and streamline overlapping functions, and even if we do succeed, the process may be more costly than initially anticipated. Additionally, integrating our product offerings with those of acquired businesses may prove difficult, and we may not be able to improve our collective product offering as expected.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integration efforts could be affected by factors beyond our control, such as general economic conditions. Moreover, the integration process may disrupt or slow down the activities of our existing business. The diversion of management’s attention, along with any delays or challenges encountered during integration, could negatively impact our operations, results, and liquidity. In some cases, the anticipated benefits of the acquisition may never materialize.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although we conduct due diligence reviews of potential acquisitions, we may still be exposed to unexpected claims or liabilities, including environmental cleanup costs. These liabilities could be costly to defend or resolve and may be substantial, potentially having a material adverse effect on our business, results,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significant warranty or contract management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our Infrastructure segment, we manufacture large electrical transmission structures, which are often highly engineered for large, complex contracts. These contracts may include terms that penalize us for late delivery, leading to consequential and compensatory damages. Occasionally, product quality issues may arise on large utility structure orders, resulting in significant costs. Additionally, our Infrastructure segment includes structures for a variety of applications such as outdoor lighting, traffic, and wireless communication.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Agriculture products are covered by warranty provisions, some of which extend over several years. If widespread product reliability issues occur with certain components, we may face substantial costs to address the situation.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could be adversely affected if our information technology systems and networks are compromised or subjected to cyberattacks.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Cyberattacks are becoming increasingly sophisticated and pose significant risks to the security of our information technology systems and networks. If these systems are breached, it could severely affect the confidentiality, availability, and integrity of our data. As our operations involve transferring data across international borders, we must comply with complex and stringent standards to protect both business and personal data, including in the U.S. and European Union countries.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risk management strategy focuses on maintaining and protecting the confidentiality, integrity, and availability of information for both our business and customers. We rely on an information security program that includes a wide range of cybersecurity measures. More details about these measures can be found in Part I, Item 1C of this report. While these measures are designed to prevent, detect, respond to, and mitigate unauthorized activity, there is no guarantee they will be sufficient to prevent or mitigate the risks of a cyberattack—whether directly targeting our systems or through third-party service providers—or to enable us to detect, report, or respond in a timely and effective manner.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Successful cyberattacks or other security incidents could result in the loss of key innovations, such as artificial intelligence or Internet of Things technologies; loss of access to critical data or systems through ransomware, crypto mining, or destructive attacks; and business delays or service disruptions. These incidents could lead to legal risks, fines, penalties, negative publicity, theft, modification or destruction of proprietary information, defective products, production downtimes,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operational disruptions. All of these could harm our reputation and competitiveness, and materially affect our business strategy, results of operations, or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and business developments regarding climate change could adversely impact our operations and demand for our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and business developments related to climate change could adversely affect our operations and the demand for our products. We closely monitor scientific discussions and legislative developments regarding climate change, including proposed regulations, to assess their potential impact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Ongoing debates about the presence and scope of climate change, along with increasing legislative and regulatory attention, are likely to continue. Our production processes and the market for our products are influenced by such laws and regulations. Compliance with these measures may result in higher costs for raw materials and transportation. Non-compliance could damage our reputation and further expose our operations and customers to significant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Climate change also presents physical risks, such as the increased frequency of severe weather events and rising sea levels, which could disrupt operations at our manufacturing facilities. These events may cause unforeseen disruptions of systems, equipment, or overall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we are facing rising insurance premiums and costs, including for property, casualty, and business interruption insurance. This trend is partly driven by the growing frequency and severity of extreme weather events such as hurricanes, floods, wildfires, and other natural disasters. Insurers have responded by tightening underwriting standards, reducing coverage limits, and increasing premium rates, particularly for businesses with geographically diverse and asset-intensive operations like ours. Any reduction in insurance coverage limits or the introduction of policy exclusions increases our financial exposure to losses associated with casualty events, including extreme weather occurrences.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Challenges in managing manufacturing capacity and responding to demand volatility could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Producing large engineered structures for Infrastructure customers requires significant machinery and often necessitates operating our manufacturing facilities at or near full capacity to achieve optimal utilization. As a result, if demand for specific structure types in the Utility or Infrastructure markets changes unexpectedly, our ability to adjust manufacturing capacity in the near term may be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Establishing new manufacturing capacity or expanding, reconfiguring, or restarting existing capacity involves significant vendor lead times, capital investments, and, in certain cases, customer approvals. These decisions are often made well in advance of firm customer orders and based on forecasts that may not ultimately reflect actual demand. If actual demand does not develop as anticipated, or declines after we have expanded capacity or increased our fixed cost structure, our manufacturing facilities may operate below optimal utilization, which could result in higher per-unit manufacturing costs, elevated inventory levels, reduced margins, asset impairments, restructuring charges, or lower profitability. Conversely, if actual demand exceeds our forecasts, we may be required to extend customer lead times or may be unable to satisfy customer demand, which could lead to customer dissatisfaction, the loss of market share to competitors, increased overtime and expediting costs, and reputational harm.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efforts to expand, modify, or rapidly ramp manufacturing capacity can increase operational complexity and elevate safety risks for our employees and contractors. Such activities may involve the installation of new equipment, changes to manufacturing processes, compressed production timelines, or the use of temporary or less-experienced labor. Workplace accidents, safety incidents, or regulatory actions arising from these conditions could disrupt operations, delay production, result in litigation or regulatory scrutiny, increase insurance or self-insurance costs, and adversely affect our reputation and financial performance. Although we maintain insurance coverage and safety programs designed to mitigate these risks, such measures may not be sufficient to prevent or fully offset the impact of all incidents or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effectively manage manufacturing capacity, respond to changes in demand, or safely execute capacity expansions and production ramp-ups, our business, financial condition, operating results, and reputation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internal control over financial reporting is found to be ineffective, our operating results could be adversely affected.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internal control over financial reporting is subject to inherent limitations, including human error, the circumvention or override of controls, and fraud. Even effective internal controls can provide only reasonable assurance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regarding the reliability of financial reporting and the preparation of financial statements in accordance with generally accepted accounting principles.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complexity of our business, including diversified product lines across multiple jurisdictions, the use of multiple enterprise resource planning systems, and complex revenue recognition requirements, further increases the challenge of maintaining effective internal controls. If we fail to maintain our internal control over financial reporting, or if we experience deficiencies or delays in implementing necessary improvements, it could have a negative impact on our operating results and damage our reputation.</w:t>
      </w:r>
    </w:p>
    <w:p>
      <w:pPr>
        <w:pStyle w:val="TextBody"/>
        <w:bidi w:val="0"/>
        <w:spacing w:before="0" w:after="240"/>
        <w:ind w:left="0" w:right="0" w:hanging="0"/>
        <w:jc w:val="left"/>
        <w:rPr>
          <w:rFonts w:ascii="Times New Roman;Times;serif" w:hAnsi="Times New Roman;Times;serif"/>
          <w:b/>
          <w:sz w:val="20"/>
        </w:rPr>
      </w:pPr>
      <w:bookmarkStart w:id="48" w:name="ITEM1BUNRESOLVEDSTAFFCOMMENTS_710683"/>
      <w:bookmarkStart w:id="49" w:name="_2df7c692_94ae_48b0_926d_bdfe38446890"/>
      <w:bookmarkStart w:id="50" w:name="_ITEM_1B._UNRESOLVED"/>
      <w:bookmarkEnd w:id="48"/>
      <w:bookmarkEnd w:id="49"/>
      <w:bookmarkEnd w:id="50"/>
      <w:r>
        <w:rPr>
          <w:rFonts w:ascii="Times New Roman;Times;serif" w:hAnsi="Times New Roman;Times;serif"/>
          <w:b/>
          <w:sz w:val="20"/>
        </w:rPr>
        <w:t>ITEM 1B. UNRESOLVED STAFF COMMENTS</w:t>
      </w:r>
    </w:p>
    <w:p>
      <w:pPr>
        <w:pStyle w:val="TextBody"/>
        <w:bidi w:val="0"/>
        <w:spacing w:before="0" w:after="240"/>
        <w:ind w:left="720" w:right="0" w:hanging="0"/>
        <w:jc w:val="left"/>
        <w:rPr>
          <w:rFonts w:ascii="Times New Roman;Times;serif" w:hAnsi="Times New Roman;Times;serif"/>
          <w:b w:val="false"/>
          <w:sz w:val="20"/>
        </w:rPr>
      </w:pPr>
      <w:r>
        <w:rPr>
          <w:rFonts w:ascii="Times New Roman;Times;serif" w:hAnsi="Times New Roman;Times;serif"/>
          <w:b w:val="false"/>
          <w:sz w:val="20"/>
        </w:rPr>
        <w:t>None.</w:t>
      </w:r>
    </w:p>
    <w:p>
      <w:pPr>
        <w:pStyle w:val="TextBody"/>
        <w:bidi w:val="0"/>
        <w:spacing w:before="0" w:after="240"/>
        <w:ind w:left="0" w:right="0" w:hanging="0"/>
        <w:jc w:val="left"/>
        <w:rPr>
          <w:rFonts w:ascii="Times New Roman;Times;serif" w:hAnsi="Times New Roman;Times;serif"/>
          <w:b/>
          <w:sz w:val="20"/>
        </w:rPr>
      </w:pPr>
      <w:bookmarkStart w:id="51" w:name="ITEM1CCYBERSECURITY"/>
      <w:bookmarkStart w:id="52" w:name="_1537fa81_0de8_47c2_afa4_d444110e840c"/>
      <w:bookmarkEnd w:id="51"/>
      <w:bookmarkEnd w:id="52"/>
      <w:r>
        <w:rPr>
          <w:rFonts w:ascii="Times New Roman;Times;serif" w:hAnsi="Times New Roman;Times;serif"/>
          <w:b/>
          <w:sz w:val="20"/>
        </w:rPr>
        <w:t>ITEM 1C. CYBERSECURITY</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information security program covers a wide range of cybersecurity activities, with the primary objective of maintaining the confidentiality, integrity, and availability of information for both our business and customers. The program and our systems are designed to identify and mitigate information security risks and data privacy breaches. Our risk mitigation processes include a cybersecurity incident response plan, which is regularly exercised through tabletop exercises, security awareness training with attack simulations to reinforce the training, cybersecurity risk assessments integrated with technology acquisition processes, and the utilization of third-party partnerships for threat intelligence, incident response and escalation, and attack surface monitoring.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measure our security performance using the International Organization for Standardization 27001 Framework and Enterprise Risk Management strategies. We implement policies and practices to mitigate risks to organizational data and operational processes.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Global Data Privacy Program continues to align with environmental, social, and corporate governance standards, taking into account both the risks and benefits of privacy-driven spending. The program’s operating model is based on the General Data Protection Regulation, adjusted to meet specific local requirements. This scalable model manages strategic, operational, legal, compliance, and financial risks and benefits, and utilizes technology to automate portions of the program, such as data subject access requests and consent and preference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membership in the Data Privacy Board, a group comprised of some of the world’s largest companies with the mission of engaging in confidential, leader-level discussions, offers opportunities for unbiased benchmarking and support from peers across various industries. We continue to build privacy resilience across international operating environments.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collaborate with third-party vendors to enhance our processes against unauthorized access to our network, computers, programs, and data. Risk is inherent in risk management and cybersecurity strategy. Successful cyberattacks or other security incidents could result in the loss of key innovations, such as artificial intelligence or Internet of Things technologies; loss of access to critical data or systems through ransomware, crypto mining, or destructive attacks; and business delays or service disruptions. See “Our operations could be adversely affected if our information technology systems and networks are compromised or subjected to cyberattacks” under Risk Factors in Part I, Item 1A of this report, which we incorporate here by reference. To date, we have not identified any cybersecurity incidents that have materially affected, or are reasonably likely to materially affect, our business strategy, results of operations, or financial condition.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has oversight responsibility for cyber risks affecting the Company. The Board has delegated risk oversight of operational, compliance, and financial matters, including cybersecurity and information technology risk, to the Audit Committee.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Chief Information Officer has extensive experience implementing and managing cybersecurity policies, including overseeing investments in tools, resources, and processes that enables the continued maturity of our cybersecurity program. Team members supporting our information security program possess relevant educational backgrounds and industry experience. Our Chief Executive Officer, Chief Financial Officer, and Audit Committee receive regular reports from our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Chief Information Officer on the Company’s risk and compliance with cybersecurity matters, including data privacy, incidents, industry trends, and the prevention, detection, mitigation, and remediation of cyber incidents.</w:t>
      </w:r>
    </w:p>
    <w:p>
      <w:pPr>
        <w:pStyle w:val="TextBody"/>
        <w:bidi w:val="0"/>
        <w:spacing w:before="0" w:after="240"/>
        <w:ind w:left="0" w:right="0" w:hanging="0"/>
        <w:jc w:val="left"/>
        <w:rPr>
          <w:rFonts w:ascii="Times New Roman;Times;serif" w:hAnsi="Times New Roman;Times;serif"/>
          <w:b/>
          <w:sz w:val="20"/>
        </w:rPr>
      </w:pPr>
      <w:bookmarkStart w:id="53" w:name="ITEM2PROPERTIES_243937"/>
      <w:bookmarkStart w:id="54" w:name="_4d8646d9_1a2b_494e_b104_a952e29018c1"/>
      <w:bookmarkEnd w:id="53"/>
      <w:bookmarkEnd w:id="54"/>
      <w:r>
        <w:rPr>
          <w:rFonts w:ascii="Times New Roman;Times;serif" w:hAnsi="Times New Roman;Times;serif"/>
          <w:b/>
          <w:sz w:val="20"/>
        </w:rPr>
        <w:t>ITEM 2.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corporate headquarters are located in Omaha, Nebraska, and the facility is leased through fiscal 2046. It houses the majority of our executive offices, reportable segment business units, and administrative functions. Most of our significant manufacturing locations are owned or are subject to long-term renewable leases. Our principal manufacturing locations are in Valley, Nebraska; McCook, Nebraska; Tulsa, Oklahoma; Brenham, Texas; Charmeil, France; Uberaba, Brazil; Monterrey, Mexico; Siedlce, Poland; Shanghai, China; and Dubai, United Arab Emirates. All these facilities are owned by us, and we believe that our manufacturing capabilities and capacities are adequate to effectively serve our customers. Our capital spending programs focus on investments for replacement, achieving operational efficiencies, and expanding capacities where necessary. Our principal operating locations by reportable segment are listed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North American manufacturing operations are located in the following U.S. states, along with operations in Canada and Mexico: Alabama, Arizona, California, Colorado, Florida, Georgia, Illinois, Indiana, Iowa, Kansas, Minnesota, Missouri, Nebraska, New Jersey, Oklahoma, Oregon, Pennsylvania, South Carolina, Tennessee, Texas, Utah, and Virginia. The largest operations are in Valley, Nebraska; Brenham, Texas; Tulsa, Oklahoma; and Monterrey, Mexico, all of which are owned facilities. We also have communication component distribution locations in California, Colorado, Florida, Georgia, Indiana, Maryland, Nevada, New York, Oregon, and Texas. Our international operations are located in Australia, China, England, Estonia, Finland, France, India, Indonesia, Italy, Malaysia, the Netherlands, New Zealand, the Philippines, Poland, and Thailand. The largest of these operations are in Charmeil, France, and Shanghai, China, both of which are owned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North American manufacturing operations are concentrated in Nebraska. Our principal manufacturing operations serving international markets are in Uberaba, Brazil; Dubai, United Arab Emirates; and Shandong, China. All facilities are owned, except for China, which is leased.</w:t>
      </w:r>
    </w:p>
    <w:p>
      <w:pPr>
        <w:pStyle w:val="TextBody"/>
        <w:bidi w:val="0"/>
        <w:spacing w:before="0" w:after="240"/>
        <w:ind w:left="0" w:right="0" w:hanging="0"/>
        <w:jc w:val="left"/>
        <w:rPr>
          <w:rFonts w:ascii="Times New Roman;Times;serif" w:hAnsi="Times New Roman;Times;serif"/>
          <w:b/>
          <w:sz w:val="20"/>
        </w:rPr>
      </w:pPr>
      <w:bookmarkStart w:id="55" w:name="ITEM3LEGALPROCEEDINGS_240337"/>
      <w:bookmarkStart w:id="56" w:name="_62b65cbb_e591_48ff_b427_84efd03025ce"/>
      <w:bookmarkEnd w:id="55"/>
      <w:bookmarkEnd w:id="56"/>
      <w:r>
        <w:rPr>
          <w:rFonts w:ascii="Times New Roman;Times;serif" w:hAnsi="Times New Roman;Times;serif"/>
          <w:b/>
          <w:sz w:val="20"/>
        </w:rPr>
        <w:t>ITEM 3.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and certain of its subsidiaries are subject to various legal proceedings, claims, and assessments arising in the normal course of business. The Company is involved in several litigation matters in Brazil related to its operations in the Agriculture market. During the fourth quarter of fiscal 2025, the Company received an unfavorable ruling in the Brazilian appellate court system. The Company is currently awaiting a motion for clarification related to the appellate court ruling, which is expected to be received in the first half of fiscal 2026. Following receipt of the clarification, the Company will evaluate available legal options, which may include pursuing a settlement or further appeals within the Brazilian court system. Based on the information known to date, management believes that the Company has appropriately accrued in its Consolidated Financial Statements for its share of the estimable costs of these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continuously monitors developments in these matters and other legal proceedings and will adjust its accruals if and when additional information becomes available or circumstances change. For information on legal proceedings, please refer to Note 17 to the Consolidated Financial Statements included in this report.</w:t>
      </w:r>
    </w:p>
    <w:p>
      <w:pPr>
        <w:pStyle w:val="TextBody"/>
        <w:bidi w:val="0"/>
        <w:spacing w:before="0" w:after="240"/>
        <w:ind w:left="0" w:right="0" w:hanging="0"/>
        <w:jc w:val="left"/>
        <w:rPr>
          <w:rFonts w:ascii="Times New Roman;Times;serif" w:hAnsi="Times New Roman;Times;serif"/>
          <w:b/>
          <w:sz w:val="20"/>
        </w:rPr>
      </w:pPr>
      <w:bookmarkStart w:id="57" w:name="ITEM4MINESAFETYDISCLOSURES_989279"/>
      <w:bookmarkStart w:id="58" w:name="_8a86d785_97fe_4087_bb32_dd4161430f43"/>
      <w:bookmarkEnd w:id="57"/>
      <w:bookmarkEnd w:id="58"/>
      <w:r>
        <w:rPr>
          <w:rFonts w:ascii="Times New Roman;Times;serif" w:hAnsi="Times New Roman;Times;serif"/>
          <w:b/>
          <w:sz w:val="20"/>
        </w:rPr>
        <w:t>ITEM 4. MINE SAFETY DISCLOSURES</w:t>
      </w:r>
    </w:p>
    <w:p>
      <w:pPr>
        <w:pStyle w:val="TextBody"/>
        <w:pBdr/>
        <w:bidi w:val="0"/>
        <w:spacing w:before="0" w:after="240"/>
        <w:ind w:left="720" w:right="0" w:hanging="360"/>
        <w:jc w:val="left"/>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59" w:name="_c7c689ee_d9dc_4f70_9689_ac3fef76880a"/>
      <w:bookmarkEnd w:id="59"/>
      <w:r>
        <w:rPr>
          <w:rFonts w:ascii="Times New Roman;Times;serif" w:hAnsi="Times New Roman;Times;serif"/>
          <w:b/>
          <w:sz w:val="20"/>
        </w:rPr>
        <w:t>INFORMATION ABOUT OUR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are the names, ages, positions, and business experiences over the last five years of our current executive officers: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Avner M. Applbaum</w:t>
      </w:r>
      <w:r>
        <w:rPr>
          <w:rFonts w:ascii="Times New Roman;Times;serif" w:hAnsi="Times New Roman;Times;serif"/>
          <w:sz w:val="20"/>
        </w:rPr>
        <w:t>, age 54</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President and Chief Executive Officer since July 2023. Served as Executive Vice President and Chief Financial Officer from March 2020 to July 2023.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Thomas Liguori</w:t>
      </w:r>
      <w:r>
        <w:rPr>
          <w:rFonts w:ascii="Times New Roman;Times;serif" w:hAnsi="Times New Roman;Times;serif"/>
          <w:sz w:val="20"/>
        </w:rPr>
        <w:t>, age 67</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 since August 2024. Served as Chief Financial Officer at Fortna, Inc., a supply chain optimization and automation company, from December 2022 to March 2024. Previously, Chief Financial Officer at Avnet, Inc., a global technology distributor and solutions provider, from 2018 to September 2022.</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Darryl Matthews</w:t>
      </w:r>
      <w:r>
        <w:rPr>
          <w:rFonts w:ascii="Times New Roman;Times;serif" w:hAnsi="Times New Roman;Times;serif"/>
          <w:sz w:val="20"/>
        </w:rPr>
        <w:t>, age 57</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Group President of Agriculture since September 2024. Served as Senior Vice President of Natural Resources and Autonomy at Trimble, Inc., a company that provides integrated technology solutions for the agriculture, construction, and infrastructure industries, from September 2015 to December 2023.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James Christopher Colwell</w:t>
      </w:r>
      <w:r>
        <w:rPr>
          <w:rFonts w:ascii="Times New Roman;Times;serif" w:hAnsi="Times New Roman;Times;serif"/>
          <w:sz w:val="20"/>
        </w:rPr>
        <w:t>, age 60</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President of Infrastructure since May 2025. Served as President of Global Utility and Coatings from March 2023 to May 2025. Previously, President of Global Utility from November 2019 to March 2023.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Greg Turi</w:t>
      </w:r>
      <w:r>
        <w:rPr>
          <w:rFonts w:ascii="Times New Roman;Times;serif" w:hAnsi="Times New Roman;Times;serif"/>
          <w:sz w:val="20"/>
        </w:rPr>
        <w:t>, age 49</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President of Infrastructure since May 2025. Served as President of Global Solar and Telecom from January 2023 to April 2025. Previously, Vice President of Global Generation from January 2020 to January 2023.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William “Eric” Johnson</w:t>
      </w:r>
      <w:r>
        <w:rPr>
          <w:rFonts w:ascii="Times New Roman;Times;serif" w:hAnsi="Times New Roman;Times;serif"/>
          <w:sz w:val="20"/>
        </w:rPr>
        <w:t>, age 44</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Chief Accounting Officer since October 2025. Served as Senior Vice President, Corporate Controller at Conagra Brands, Inc., a consumer packaged goods company, from July 2023 to October 2025. Previously, Assistant Controller at Conagra Brands, Inc. from September 2019 to July 2023.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Renee L. Campbell</w:t>
      </w:r>
      <w:r>
        <w:rPr>
          <w:rFonts w:ascii="Times New Roman;Times;serif" w:hAnsi="Times New Roman;Times;serif"/>
          <w:sz w:val="20"/>
        </w:rPr>
        <w:t>, age 56</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Senior Vice President of Capital Markets &amp; Risk and Treasurer since December 2025. Served as Senior Vice President of Investor Relations and Treasurer from February 2022 to December 2025. Previously, Vice President of Investor Relations and Corporate Communications from October 2017 to February 2022.</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Jennifer Paisley</w:t>
      </w:r>
      <w:r>
        <w:rPr>
          <w:rFonts w:ascii="Times New Roman;Times;serif" w:hAnsi="Times New Roman;Times;serif"/>
          <w:sz w:val="20"/>
        </w:rPr>
        <w:t>, age 48</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Chief People Officer since December 2025. Served as Senior Vice President of Human Resources from August 2024 to December 2025. Previously, Vice President of Total Rewards and HR Operations from September 2020 to August 2024.</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Sobha Mulukutla</w:t>
      </w:r>
      <w:r>
        <w:rPr>
          <w:rFonts w:ascii="Times New Roman;Times;serif" w:hAnsi="Times New Roman;Times;serif"/>
          <w:sz w:val="20"/>
        </w:rPr>
        <w:t>, age 51</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Chief Information Officer since January 2026. Served as Vice President of Information Technology, Global Products &amp; Supply Chain at Johnson Controls, an industrial machinery manufacturer, from November 2022 to January 2026. Previously, Executive Director, Enterprise Project Management Office at Johnson Controls from April 2022 to November 2022 and Information Technology Director and Business Partner at Bell Flight, an aviation and aerospace component manufacturer, from April 2020 to April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R. Andrew Massey</w:t>
      </w:r>
      <w:r>
        <w:rPr>
          <w:rFonts w:ascii="Times New Roman;Times;serif" w:hAnsi="Times New Roman;Times;serif"/>
          <w:sz w:val="20"/>
        </w:rPr>
        <w:t>, age 56</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Vice President, Chief Legal Officer, and Corporate Secretary since July 2006.</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 w:name="PARTII_196403"/>
      <w:bookmarkStart w:id="61" w:name="_fca5abf0_57e8_4948_b583_a6d6c02bb70e"/>
      <w:bookmarkEnd w:id="60"/>
      <w:bookmarkEnd w:id="61"/>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2" w:name="ITEM5"/>
      <w:bookmarkEnd w:id="62"/>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Market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common stock is traded on the New York Stock Exchange under the ticker symbol “VMI.”</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there were approximately 489 holders of record of our common stock. A substantially greater number of holders are beneficial owners whose shares are held in street name through banks, brokers, and other nominees.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dividends on our common stock are paid quarterly. In fiscal 2025, we paid a total of $52.5 million in dividends, compared to $48.4 million in fiscal 2024. The Board of Directors determines whether to declare dividends, including their timing and amount, based on our financial condition and other relevant factors. We currently anticipate continuing to pay dividends at levels consistent with historical distributions.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tbl>
      <w:tblPr>
        <w:tblW w:w="9922" w:type="dxa"/>
        <w:jc w:val="left"/>
        <w:tblInd w:w="0" w:type="dxa"/>
        <w:tblLayout w:type="fixed"/>
        <w:tblCellMar>
          <w:top w:w="0" w:type="dxa"/>
          <w:left w:w="0" w:type="dxa"/>
          <w:bottom w:w="0" w:type="dxa"/>
          <w:right w:w="0" w:type="dxa"/>
        </w:tblCellMar>
      </w:tblPr>
      <w:tblGrid>
        <w:gridCol w:w="3166"/>
        <w:gridCol w:w="346"/>
        <w:gridCol w:w="1171"/>
        <w:gridCol w:w="346"/>
        <w:gridCol w:w="214"/>
        <w:gridCol w:w="656"/>
        <w:gridCol w:w="346"/>
        <w:gridCol w:w="1501"/>
        <w:gridCol w:w="346"/>
        <w:gridCol w:w="273"/>
        <w:gridCol w:w="1557"/>
      </w:tblGrid>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Approximate dollar</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 purchased</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 of shares that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part of publicly</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may yet be purchased</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 paid</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announced plans</w:t>
            </w:r>
          </w:p>
        </w:tc>
        <w:tc>
          <w:tcPr>
            <w:tcW w:w="346" w:type="dxa"/>
            <w:tcBorders/>
            <w:vAlign w:val="center"/>
          </w:tcPr>
          <w:p>
            <w:pPr>
              <w:pStyle w:val="TableContents"/>
              <w:bidi w:val="0"/>
              <w:spacing w:before="0" w:after="1"/>
              <w:ind w:left="0" w:right="0" w:hanging="0"/>
              <w:jc w:val="left"/>
              <w:rPr/>
            </w:pPr>
            <w:r>
              <w:rPr/>
              <w:t>​</w:t>
            </w:r>
          </w:p>
        </w:tc>
        <w:tc>
          <w:tcPr>
            <w:tcW w:w="18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under the plans</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 share</w:t>
            </w:r>
          </w:p>
        </w:tc>
        <w:tc>
          <w:tcPr>
            <w:tcW w:w="346" w:type="dxa"/>
            <w:tcBorders/>
            <w:vAlign w:val="center"/>
          </w:tcPr>
          <w:p>
            <w:pPr>
              <w:pStyle w:val="TableContents"/>
              <w:bidi w:val="0"/>
              <w:spacing w:before="0" w:after="1"/>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or programs</w:t>
            </w:r>
          </w:p>
        </w:tc>
        <w:tc>
          <w:tcPr>
            <w:tcW w:w="346" w:type="dxa"/>
            <w:tcBorders/>
            <w:vAlign w:val="center"/>
          </w:tcPr>
          <w:p>
            <w:pPr>
              <w:pStyle w:val="TableContents"/>
              <w:bidi w:val="0"/>
              <w:spacing w:before="0" w:after="1"/>
              <w:ind w:left="0" w:right="0" w:hanging="0"/>
              <w:jc w:val="left"/>
              <w:rPr/>
            </w:pPr>
            <w:r>
              <w:rPr/>
              <w:t>  ​ ​ ​</w:t>
            </w:r>
          </w:p>
        </w:tc>
        <w:tc>
          <w:tcPr>
            <w:tcW w:w="18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or programs (1)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September 28, 2025 to October 25, 2025</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61,755</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399.87</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61,755</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615,505,000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October 26, 2025 to November 29, 2025</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70,774</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404.65</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70,774</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586,865,000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November 30, 2025 to December 27, 2025</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48,070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414.18</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48,070</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15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566,955,000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180,599</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405.55</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180,599</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7"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566,955,000</w:t>
            </w:r>
          </w:p>
        </w:tc>
      </w:tr>
    </w:tbl>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December 27, 2025, we had approximately $567.0 million of remaining capacity under the share repurchase program. Since the program’s inception in May 2014, we have repurchased approximately 8.8 million shares for a total of $1.5 billion.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Inflation Reduction Act of 2022, enacted on August 16, 2022, introduced a nondeductible 1% excise tax on the net value of certain stock repurchases made after December 31, 2022. As of December 27, 2025 and December 28, 2024, the excise tax accrued totaled $1.7 million and $0.6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 w:name="_cffb7f5f_3a6d_4364_bbfd_1bd97b74b5bf"/>
      <w:bookmarkStart w:id="64" w:name="_ITEM_6._RESERVED"/>
      <w:bookmarkEnd w:id="63"/>
      <w:bookmarkEnd w:id="64"/>
      <w:r>
        <w:rPr>
          <w:rFonts w:ascii="Times New Roman;Times;serif" w:hAnsi="Times New Roman;Times;serif"/>
          <w:b/>
          <w:sz w:val="20"/>
        </w:rPr>
        <w:t>ITEM 6. [RESERVED]</w:t>
      </w:r>
    </w:p>
    <w:p>
      <w:pPr>
        <w:pStyle w:val="TextBody"/>
        <w:bidi w:val="0"/>
        <w:spacing w:before="0" w:after="240"/>
        <w:ind w:left="0" w:right="0" w:hanging="0"/>
        <w:jc w:val="left"/>
        <w:rPr>
          <w:rFonts w:ascii="Times New Roman;Times;serif" w:hAnsi="Times New Roman;Times;serif"/>
          <w:b/>
          <w:sz w:val="20"/>
        </w:rPr>
      </w:pPr>
      <w:bookmarkStart w:id="65" w:name="ITEM7MANAGEMENTSDISCUSSIONANDANALYSISOFF"/>
      <w:bookmarkStart w:id="66" w:name="_00310eb6_d33e_4922_b7fe_0655a0855877"/>
      <w:bookmarkStart w:id="67" w:name="ITEM6RESERVED"/>
      <w:bookmarkEnd w:id="65"/>
      <w:bookmarkEnd w:id="66"/>
      <w:bookmarkEnd w:id="6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i/>
          <w:sz w:val="20"/>
        </w:rPr>
        <w:t>Forward</w:t>
      </w:r>
      <w:r>
        <w:rPr>
          <w:rFonts w:ascii="Times New Roman;Times;serif" w:hAnsi="Times New Roman;Times;serif"/>
          <w:b/>
          <w:sz w:val="20"/>
        </w:rPr>
        <w:noBreakHyphen/>
      </w:r>
      <w:r>
        <w:rPr>
          <w:rFonts w:ascii="Times New Roman;Times;serif" w:hAnsi="Times New Roman;Times;serif"/>
          <w:b/>
          <w:i/>
          <w:sz w:val="20"/>
        </w:rPr>
        <w:t>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along with other sections of this annual report, contain forward</w:t>
        <w:noBreakHyphen/>
        <w:t>looking statements as defined by the Private Securities Litigation Reform Act of 1995. These statements are based on assumptions that management has made in light of experience in the industries in which the Company operates, as well as management’s perceptions of historical trends, current conditions, anticipated future developments, and other factors deemed to be relevant. However, these statements are not guarantees of future performance or results. They are subject to risks, uncertainties (some beyond the Company’s control), and various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believes these forward</w:t>
        <w:noBreakHyphen/>
        <w:t>looking statements are based on reasonable assumptions. However, many factors could cause actual financial results to differ materially from expectations. These factors include, among others, risk factors described in the Company’s reports to the SEC, as well as future economic and market conditions, industry trends, Company performance and financial results, operational efficiencies, availability and pricing of raw materials, availability and market acceptance of new products, product pricing, domestic and international competition, and actions or policy changes by domestic and foreign governments.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provide information that management considers relevant for assessing and understanding the Company’s consolidated results of operations and financial position. This discussion should be read in conjunction with the Consolidated Financial Statements and related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section primarily discusses fiscal 2025 and fiscal 2024, including year-over-year comparisons. Discussions regarding fiscal 2023 and associated comparisons, which are not included on Form 10-K, can be found in “Management’s Discussion and Analysis of Financial Condition and Results of Operations” in Part II, Item 7 of the Company’s Annual Report on Form 10-K for the fiscal year ended December 28, 2024.</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FISCAL 2025 COMPARED WITH FISCAL 2024</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Results of Operations</w:t>
      </w:r>
    </w:p>
    <w:tbl>
      <w:tblPr>
        <w:tblW w:w="7191" w:type="dxa"/>
        <w:jc w:val="left"/>
        <w:tblInd w:w="0" w:type="dxa"/>
        <w:tblLayout w:type="fixed"/>
        <w:tblCellMar>
          <w:top w:w="0" w:type="dxa"/>
          <w:left w:w="0" w:type="dxa"/>
          <w:bottom w:w="0" w:type="dxa"/>
          <w:right w:w="0" w:type="dxa"/>
        </w:tblCellMar>
      </w:tblPr>
      <w:tblGrid>
        <w:gridCol w:w="3796"/>
        <w:gridCol w:w="109"/>
        <w:gridCol w:w="218"/>
        <w:gridCol w:w="922"/>
        <w:gridCol w:w="109"/>
        <w:gridCol w:w="218"/>
        <w:gridCol w:w="922"/>
        <w:gridCol w:w="146"/>
        <w:gridCol w:w="751"/>
      </w:tblGrid>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Dollars in thousands, except per-share amounts</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4,104,102</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4,075,034</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1,239,936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1,241,212</w:t>
            </w:r>
          </w:p>
        </w:tc>
        <w:tc>
          <w:tcPr>
            <w:tcW w:w="1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717,633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716,628</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415,576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524,584</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32,353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51,539</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350,273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348,259</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Infrastructure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3,089,732</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2,998,381</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925,634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903,736</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398,504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406,596</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430,174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497,140</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Agriculture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1,014,370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1,076,653</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(5.8%)</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314,302</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337,476</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217,359</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199,140</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92,076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138,336</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Corporate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101,770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110,892</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loss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(106,674)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(110,892)</w:t>
            </w:r>
          </w:p>
        </w:tc>
        <w:tc>
          <w:tcPr>
            <w:tcW w:w="1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w:t>
            </w:r>
          </w:p>
        </w:tc>
      </w:tr>
    </w:tbl>
    <w:p>
      <w:pPr>
        <w:pStyle w:val="TextBody"/>
        <w:bidi w:val="0"/>
        <w:spacing w:before="240" w:after="240"/>
        <w:ind w:left="0" w:right="0" w:hanging="0"/>
        <w:jc w:val="left"/>
        <w:rPr>
          <w:rFonts w:ascii="Times New Roman;Times;serif" w:hAnsi="Times New Roman;Times;serif"/>
          <w:i/>
          <w:sz w:val="14"/>
        </w:rPr>
      </w:pPr>
      <w:r>
        <w:rPr>
          <w:rFonts w:ascii="Times New Roman;Times;serif" w:hAnsi="Times New Roman;Times;serif"/>
          <w:i/>
          <w:sz w:val="14"/>
        </w:rPr>
        <w:t>NM = not meaningful</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Overview, Including Items Impacting Comparability</w:t>
      </w:r>
    </w:p>
    <w:tbl>
      <w:tblPr>
        <w:tblW w:w="5862" w:type="dxa"/>
        <w:jc w:val="left"/>
        <w:tblInd w:w="0" w:type="dxa"/>
        <w:tblLayout w:type="fixed"/>
        <w:tblCellMar>
          <w:top w:w="0" w:type="dxa"/>
          <w:left w:w="0" w:type="dxa"/>
          <w:bottom w:w="0" w:type="dxa"/>
          <w:right w:w="0" w:type="dxa"/>
        </w:tblCellMar>
      </w:tblPr>
      <w:tblGrid>
        <w:gridCol w:w="1696"/>
        <w:gridCol w:w="346"/>
        <w:gridCol w:w="233"/>
        <w:gridCol w:w="983"/>
        <w:gridCol w:w="109"/>
        <w:gridCol w:w="196"/>
        <w:gridCol w:w="826"/>
        <w:gridCol w:w="346"/>
        <w:gridCol w:w="196"/>
        <w:gridCol w:w="931"/>
      </w:tblGrid>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 - fiscal 2024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2,998,381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1,076,653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4,075,034</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Volume</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(50,257)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(51,211)</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Pricing and mix</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105,529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101,188</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Divestitures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(12,903)</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(12,903)</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(8,006)</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 - fiscal 2025</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3,089,732</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1,014,370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4,104,102</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On a consolidated basis, net sales increased by 0.7% in fiscal 2025, as compared to fiscal 2024, primarily driven by higher net sales in the Infrastructure segment, partially offset by lower net sales in the Agriculture segment. Growth in the Infrastructure segment was mainly attributable to improved pricing and mix, particularly within the Utility product line. This increase was partially offset by reduced net sales resulting from the divestitures of George Industries in the Coatings product line ($5.5 million) and our extractive business in the Lighting and Transportation (“L&amp;T”) product line ($7.4 million). The decline in the Agriculture segment was driven by lower sales volumes in North America.</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gross profit decreased by 0.1% in fiscal 2025, as compared to fiscal 2024. The decline was primarily attributable to lower sales volumes in North America within the Agriculture segment and reduced sales volumes in the L&amp;T and Solar product lines within the Infrastructure segment. These impacts were partially offset by higher sales volumes and improved pricing in the Utility and Telecommunications products lines within the Infrastructure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selling, general, and administrative (“SG&amp;A”) expenses increased by 0.1% in fiscal 2025, as compared to fiscal 2024, primarily due to $24.2 million of legal contingency reserves and $23.8 million of expected credit losses in Brazil. These increases were partially offset by lower compensation and incentive costs, driven in part by our strategic realignment, as well as reduced research and development costs primarily as a result from the exit of our Prospera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operating income decreased by 20.8% in fiscal 2025, as compared to fiscal 2024, primarily due to the impairment of certain long-lived assets totaling $91.3 million, realignment charges of $15.4 million, and slightly higher SG&amp;A expenses.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Net Interest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Consolidated net interest expense decreased by 37.2% in fiscal 2025, as compared to fiscal 2024, due to a decrease in average outstanding borrowings on the revolving line of credit along with lower average interest rates.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Other Income /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Amounts in “Gain on deferred compensation investments” on the Consolidated Statements of Earnings reflected changes in the market value of deferred compensation investments, which were fully offset by corresponding changes in the valuation of deferred compensation liabilities recorded in SG&amp;A. Other components of “Other income (expenses)” included pension expense of $1.1 million and $0.6 million in fiscal 2025 and 2024, respectively, and foreign currency revaluation losses of approximately $8.4 million resulting from depreciation of the Argentine peso against the U.S. dollar in fiscal 2025.</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effective income tax rate in fiscal 2025 and fiscal 2024 was 6.3% and 25.2%, respectively. In fiscal 2025, the reduction in the effective tax rate was the result of a tax benefit recognized for a worthless securities deduction of $73.8 million, the release of previously recorded valuation allowances on certain foreign tax credits of $13.4 million, and changes in the geographical mix of earnings. The worthless securities deduction was the result of the exit of our Prospera business.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Infrastructure Segment</w:t>
      </w:r>
    </w:p>
    <w:tbl>
      <w:tblPr>
        <w:tblW w:w="7433" w:type="dxa"/>
        <w:jc w:val="left"/>
        <w:tblInd w:w="0" w:type="dxa"/>
        <w:tblLayout w:type="fixed"/>
        <w:tblCellMar>
          <w:top w:w="0" w:type="dxa"/>
          <w:left w:w="0" w:type="dxa"/>
          <w:bottom w:w="0" w:type="dxa"/>
          <w:right w:w="0" w:type="dxa"/>
        </w:tblCellMar>
      </w:tblPr>
      <w:tblGrid>
        <w:gridCol w:w="2101"/>
        <w:gridCol w:w="346"/>
        <w:gridCol w:w="218"/>
        <w:gridCol w:w="922"/>
        <w:gridCol w:w="346"/>
        <w:gridCol w:w="218"/>
        <w:gridCol w:w="922"/>
        <w:gridCol w:w="346"/>
        <w:gridCol w:w="196"/>
        <w:gridCol w:w="721"/>
        <w:gridCol w:w="346"/>
        <w:gridCol w:w="751"/>
      </w:tblGrid>
      <w:tr>
        <w:trPr/>
        <w:tc>
          <w:tcPr>
            <w:tcW w:w="2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1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Utility</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1,511,053</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1,368,333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142,720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10.4%</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Lighting and Transportation</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830,268</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884,128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(53,860)</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(6.1%)</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Coatings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362,209</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353,739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8,470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2.4%</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Telecommunications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313,882</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250,770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63,112</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25.2%</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Solar</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81,622</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151,606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(69,984)</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(46.2%)</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3,099,034</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3,008,576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90,458</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3.0%</w:t>
            </w:r>
          </w:p>
        </w:tc>
      </w:tr>
      <w:tr>
        <w:trPr/>
        <w:tc>
          <w:tcPr>
            <w:tcW w:w="21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430,174</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497,140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(66,966)</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(13.5%)</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Infrastructure segment sales increased by 3.0% in fiscal 2025, as compared to fiscal 2024, driven primarily by higher sales volumes in the Utility and Telecommunications product lines, which more than offset declines in L&amp;T and Solar product lines.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Regionally, Infrastructure segment sales grew in North America in fiscal 2025, as compared to fiscal 2024, while sales declined in international markets during the same period.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Utility product line sales increased by 10.4% in fiscal 2025, as compared to fiscal 2024, reflecting favorable market pricing and higher volumes. Demand remained strong, supported by increased electrical energy consumption and utility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to expand and reinforce grid capacity, including to serve growing power demand from data centers and other load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L&amp;T product line sales decreased by 6.1% in fiscal 2025, as compared to fiscal 2024, driven by lower volumes in the Asia-Pacific region and softer market demand in North America. The decline was further impacted by the divestiture of the extractive business in the fourth quarter of fiscal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Coatings product line sales increased by 2.4% in fiscal 2025, as compared to fiscal 2024, benefiting from healthy infrastructure demand. The increase was partially offset by the divestiture of George Industries in the fourth quarter of fiscal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Telecommunications product line sales increased by 25.2% in fiscal 2025, as compared to fiscal 2024, driven by increased carrier spending in the North American market, supported by our quick-turn order strategy and alignment with carrier spending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Solar product line sales decreased by 46.2% in fiscal 2025, as compared to fiscal 2024, primarily due to lower volumes resulting from our strategic decision to exit select regional markets in the second quarter of fiscal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gross profit increased by 2.4% in fiscal 2025, as compared to fiscal 2024, primarily due to higher volumes in the Utility and Telecommunications product lines, partially offset by lower Solar volumes. In connection with lower anticipated volumes, we also recorded approximately $6.9 million of inventory reserves associated with our Solar businesses in fiscal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SG&amp;A decreased by 2.0% in fiscal 2025, as compared to fiscal 2024, driven by lower incentive costs and research and development costs, partially offset by higher expected credit losses of approximately $14.3 million, primarily within the Solar product 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Infrastructure segment operating income decreased by 13.5% in fiscal 2025, as compared to fiscal 2024, primarily due to impairment charges of $89.4 million related to certain long-lived assets primarily in the Solar and Access Systems reporting units, realignment charges of $7.6 million, and lower volumes in the L&amp;T and Solar product lines.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Agriculture Segment</w:t>
      </w:r>
    </w:p>
    <w:tbl>
      <w:tblPr>
        <w:tblW w:w="6968" w:type="dxa"/>
        <w:jc w:val="left"/>
        <w:tblInd w:w="0" w:type="dxa"/>
        <w:tblLayout w:type="fixed"/>
        <w:tblCellMar>
          <w:top w:w="0" w:type="dxa"/>
          <w:left w:w="0" w:type="dxa"/>
          <w:bottom w:w="0" w:type="dxa"/>
          <w:right w:w="0" w:type="dxa"/>
        </w:tblCellMar>
      </w:tblPr>
      <w:tblGrid>
        <w:gridCol w:w="1636"/>
        <w:gridCol w:w="346"/>
        <w:gridCol w:w="218"/>
        <w:gridCol w:w="922"/>
        <w:gridCol w:w="346"/>
        <w:gridCol w:w="218"/>
        <w:gridCol w:w="922"/>
        <w:gridCol w:w="346"/>
        <w:gridCol w:w="196"/>
        <w:gridCol w:w="721"/>
        <w:gridCol w:w="346"/>
        <w:gridCol w:w="751"/>
      </w:tblGrid>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506,316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570,517</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(64,201)</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(11.3%)</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514,434</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513,191</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1,243</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0.2%</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1,020,750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1,083,708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(62,958)</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(5.8%)</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92,076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(46,260)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(33.4%)</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North America, Agriculture segment sales decreased by 11.3% in fiscal 2025, as compared to fiscal 2024, primarily due to lower irrigation equipment sales volumes, reflecting continued softness in the agriculture market. Contributing factors included lower grain prices, uncertainty surrounding trade policy, and the timing of government funding. The decrease was also impacted by lower replacement irrigation equipment sales following severe weather events in fiscal 2024.</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international markets, Agriculture segment sales increased by 0.2% in fiscal 2025, as compared to fiscal 2024, driven by sales growth in the Europe, Middle East, and Africa (“EMEA”) region. This increase was partially offset by lower sales in South America, where normalizing backlog levels, higher credit costs, and lower grain prices impacted growers’ purchasing decisions. The decline was further exacerbated by unfavorable foreign currency translation effects of $7.7 million.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Agriculture business remains cyclical and is influenced by factors such as net farm income, commodity prices, weather volatility, geopolitical events, and farmer sentiment regarding future economic conditions. We actively monitor these variables across our key markets. In the U.S., we consider net farm income estimates published by the U.S. Department of Agriculture as a key indicator of grower purchasing capacity. In Brazil, we monitor grain prices, projected farm input costs, interest rates, and net farm income trends, which collectively influence grower liquidity, credit conditions, and purchasing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behavior. Looking ahead, we remain focused on navigating evolving market conditions and positioning the Agriculture business for long-term growth across both domestic and international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gross profit decreased 6.9% in fiscal 2025, as compared to fiscal 2024, primarily due to lower sales volumes, particularly in North America and South America, which more than offset volume gains in the EMEA region. In fiscal 2025, we also increased inventory reserves by $8.5 million as a result of our slow-moving and obsolete inventory in response to continued softness within the agricultural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SG&amp;A increased by 9.1% in fiscal 2025, as compared to fiscal 2024, primarily due to $24.2 million of legal contingency reserves and $23.8 million of expected credit losses in Brazil, partially offset by lower compensation and incentive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Agriculture segment operating income decreased by 33.4% in fiscal 2025, as compared to fiscal 2024. The decline was primarily driven by lower sales volumes in North America, charges related to the agriculture solar business totaling $5.9 million, and realignment charges of $2.9 million.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Corporate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SG&amp;A decreased by 8.2% in fiscal 2025, as compared to fiscal 2024, primarily due to lower compensation and incentive costs. This decrease was partially offset by higher professional services fees, insurance expenses, and technology costs. In addition, during fiscal 2025, we incurred $4.9 million in realignment charges within Corporate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FINANCIAL RESULTS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Acquisitions and Divestitures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continue to strategically enhance our portfolio through targeted acquisitions and divestitures, demonstrating our commitment to refining our business focus and driving value within our core 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2024, we divested George Industries, a coating and anodizing company in California previously included in the Infrastructure segment, resulting in a loss of $2.8 million recorded in “Other income (expenses)” in the Consolidated Statements of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2024, we divested our extractive business, which included the manufacturing and distribution of screening products for the mining and quarrying sectors in Australia and New Zealand, previously included in the Infrastructure segment, resulting in a loss of $1.7 million recorded in “Other income (expenses)” in the Consolidated Statements of Earnings.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Macroeconomic and Geopolitical Impacts on Financial Results and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continue to actively monitor a range of macroeconomic and geopolitical uncertainties that have affected, and may continue to affect, our business operations and financial performance. These include volatility in the global economic and trade environment, inflationary cost pressures, supply chain disruptions, foreign currency fluctuations relative to the U.S. dollar, changing interest rates, ongoing international conflicts, and labor shortages. These factors may influence our operational costs, revenue streams, and overall financial stability. As conditions evolve, we are proactively adjusting our business strategies to mitigate potential risks, maintain financial resilience, and ensure sufficient liquidity to support ongoing operations and strategic initiatives.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Backlog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the consolidated backlog of unshipped orders was approximately $1.7 billion, as compared to approximately $1.4 billion as of December 28, 2024. This increase is attributed to an increase in the Infrastructure segment partially offset by a decrease in the Agriculture segment.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Capital Allocation Philosophy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capital allocation priorities are intended to present a balanced approach to maintaining disciplined investments in organic and inorganic growth opportunities while delivering meaningful capital returns to shareholders over the next three to five years. These priorities are expected to be supported by our projected cash flow generation. We plan to allocate approximately 50% of operating cash flow to high-return growth opportunities, focused 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strategic capacity expansion, primarily in the Infrastructure segment, to maintain and increase manufacturing output and efficiency while driving innovation to better serve customers,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that strategically augment our competitive position, with a focus on sustainable growth and premium returns on invested capital.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plan to allocate the remaining approximately 50% of operating cash flow to shareholder returns through the form of share repurchases and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December 27, 2025, we had approximately $567.0 million of remaining capacity under the share repurchase program. Since the program’s inception in May 2014, we have repurchased approximately 8.8 million shares for a total of $1.5 billion.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Subsequent to year end, on February 23, 2026, the Board of Directors approved a quarterly cash dividend on common stock of $0.77 per share, or an annualized rate of $3.08 per share, representing an increase of approximately 13%.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remain committed to maintaining a capital structure that supports our investment-grade credit rating. As of the latest assessments, our credit ratings were Baa2 (stable outlook) by Moody’s Ratings and BBB+ (stable outlook) by S&amp;P Global Ratings. To support these ratings, we aim to manage our debt-to-invested capital ratio within levels that reinforce our investment-grade status.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Supplier Finance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a supplier finance program with a financial institution, allowing qualifying suppliers the option to sell their receivables from us to the financial institution under independently negotiated terms. Participation in the program is entirely voluntary for suppliers and does not affect our payment terms, amounts, timing, or liquidity. We have no economic interest in a supplier’s decision to participate. As of December 27, 2025 and December 28, 2024, our accounts payable in the Consolidated Balance Sheets included $56.3 million and $45.6 million, respectively, related to obligations under this program.</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Sources of 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our available debt financing primarily included senior unsecured notes and a revolving credit facility.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Senior Unsecured Notes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December 27, 2025, our senior unsecured notes consisted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million face value ($434.5 million carrying value) notes at an interest rate of 5.00% per annum, maturing in October 2044.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 million face value ($295.6 million carrying value) notes at an interest rate of 5.25% per annum, maturing in October 2054.</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retain the option to repurchase these notes by paying a make-whole premium. Both tranches are guaranteed by certain subsidiaries.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Revolving Credit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revolving credit facility, managed by JPMorgan Chase Bank, N.A., as Administrative Agent, has a maturity date of July 10, 2030. The facility provides up to $800.0 million in unsecured revolving credit, with $400.0 million available for borrowings in foreign currencies. An additional $400.0 million may be added to the facility, subject to lender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Authorized borrowers include the Company and its wholly owned subsidiaries, Valmont Industries Holland B.V. and Valmont Group Pty. Ltd. Obligations under this facility are guaranteed by the Company and its wholly owned subsidiaries, Valmont Telecommunications, Inc., Valmont Coatings, Inc., Valmont Newmark, Inc., and Valmont Queensland Pty. Ltd.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interest rate on our borrowings will be, at our option, either:</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Secured Overnight Financing Rate (“SOFR”), based on a one-, three-, or six-month period, and a spread of 100 to 162.5 basis points, depending on our senior unsecured long-term debt credit rating by S&amp;P Global Ratings and Moody’s Ratings;</w:t>
            </w:r>
          </w:p>
        </w:tc>
      </w:tr>
    </w:tbl>
    <w:tbl>
      <w:tblPr>
        <w:tblW w:w="1641" w:type="dxa"/>
        <w:jc w:val="left"/>
        <w:tblInd w:w="0" w:type="dxa"/>
        <w:tblLayout w:type="fixed"/>
        <w:tblCellMar>
          <w:top w:w="28" w:type="dxa"/>
          <w:left w:w="28" w:type="dxa"/>
          <w:bottom w:w="28" w:type="dxa"/>
          <w:right w:w="28" w:type="dxa"/>
        </w:tblCellMar>
      </w:tblPr>
      <w:tblGrid>
        <w:gridCol w:w="124"/>
        <w:gridCol w:w="331"/>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of</w:t>
            </w:r>
          </w:p>
        </w:tc>
      </w:tr>
    </w:tbl>
    <w:tbl>
      <w:tblPr>
        <w:tblW w:w="2361" w:type="dxa"/>
        <w:jc w:val="left"/>
        <w:tblInd w:w="0" w:type="dxa"/>
        <w:tblLayout w:type="fixed"/>
        <w:tblCellMar>
          <w:top w:w="28" w:type="dxa"/>
          <w:left w:w="28" w:type="dxa"/>
          <w:bottom w:w="28" w:type="dxa"/>
          <w:right w:w="28" w:type="dxa"/>
        </w:tblCellMar>
      </w:tblPr>
      <w:tblGrid>
        <w:gridCol w:w="124"/>
        <w:gridCol w:w="25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prime lending rate,</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overnight bank rate plus 50 basis points, or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SOFR (based on a one-month period) plus 100 basis points,</w:t>
            </w:r>
          </w:p>
        </w:tc>
      </w:tr>
    </w:tbl>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plus, in each case, 0 to 62.5 basis points, depending on our credit rating; or</w:t>
      </w:r>
    </w:p>
    <w:tbl>
      <w:tblPr>
        <w:tblW w:w="8076" w:type="dxa"/>
        <w:jc w:val="left"/>
        <w:tblInd w:w="0" w:type="dxa"/>
        <w:tblLayout w:type="fixed"/>
        <w:tblCellMar>
          <w:top w:w="28" w:type="dxa"/>
          <w:left w:w="28" w:type="dxa"/>
          <w:bottom w:w="28" w:type="dxa"/>
          <w:right w:w="28" w:type="dxa"/>
        </w:tblCellMar>
      </w:tblPr>
      <w:tblGrid>
        <w:gridCol w:w="124"/>
        <w:gridCol w:w="31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simple SOFR and a spread of 100 to 162.5 basis points, depending on our credit rating.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 commitment fee is applied to the average daily unused portion of the facility, ranging from 9 to 20 basis points, based on our credit rating.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had $65.0 million of outstanding borrowings under this facility. As of December 28, 2024, we had no outstanding borrowings under this facility. The facility includes a financial covenant that may limit additional borrowing. As of December 27, 2025, we could borrow an additional $734.8 million under the facility, after accounting for $0.2 million in standby letters of credit related to certain insurance obligations. Additionally, we maintain short</w:t>
        <w:noBreakHyphen/>
        <w:t>term bank lines of credit totaling $10.1 million, all of which were unused as of December 27, 2025.</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Covenants and Compliance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Both our senior unsecured notes and revolving credit facility contain cross-default provisions, which allow for the acceleration of debt if we default on other indebtedness that also permits acceleration.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facility requires us to maintain a financial leverage ratio of 3.50 or lower, measured as of the last day of each fiscal quarter. A temporary increase to 3.75 is permitted for the four fiscal quarters following a material acquisition. The leverage ratio is defined as the ratio of: (a) interest-bearing debt, minus unrestricted cash in excess of $50.0 million (but not exceeding $500.0 million), to (b) earnings before interest, taxes, depreciation, and amortization, adjusted for non-cash stock-based compensation and non-recurring non-cash charges or gains, subject to certain limitations (“Adjusted EBITDA”). Additionally, in the event of an acquisition or divestiture, Adjusted EBITDA shall be computed on a pro forma basis, reflecting the transaction as if it had occurred on the first day of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covenants restrict activities such as incurring indebtedness, placing liens, engaging in mergers, making investments, selling assets, paying dividends, conducting affiliate transactions, and making debt prepayments. Customary events of default may trigger the acceleration of obligations, subject to grace periods where applicable.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were in compliance with all covenants related to these debt agreements. For detailed calculations of Adjusted EBITDA and the leverage ratio, please refer to the “Selected Financial Measures” section.</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primary cash needs include working capital, capital expenditures, debt service, taxes, and pension contributions. We may also pursue strategic investments, acquisitions, stock repurchases, or dividends, subject to market conditions and debt agreement restrictions.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fiscal 2026, our primary cash requirements will include capital expenditures, pension contributions, lease payments, and interest on outstanding debt, along with the payment of the mandatorily redeemable financial instrument related to the acquisition of the redeemable noncontrolling interest of ConcealFab, Inc. We have committed to purchasing zinc, aluminum, and steel under unconditional purchase agreements aligned with our business needs. These contracts help stabilize costs amid fluctuating demand, and we plan to use the contracted amounts within the fiscal year. We expect fiscal 2026 capital expenditures to range from $170.0 million to $200.0 million. The increase in planned expenditures is driven by infrastructure-related growth opportunities. These investments will enhance output, improve adaptability to evolving needs, and expand manufacturing capacity, efficiency, and flexibility.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outlines our material cash requirements, both current and long-term, as of December 27, 2025:</w:t>
      </w:r>
    </w:p>
    <w:tbl>
      <w:tblPr>
        <w:tblW w:w="6878" w:type="dxa"/>
        <w:jc w:val="left"/>
        <w:tblInd w:w="0" w:type="dxa"/>
        <w:tblLayout w:type="fixed"/>
        <w:tblCellMar>
          <w:top w:w="0" w:type="dxa"/>
          <w:left w:w="0" w:type="dxa"/>
          <w:bottom w:w="0" w:type="dxa"/>
          <w:right w:w="0" w:type="dxa"/>
        </w:tblCellMar>
      </w:tblPr>
      <w:tblGrid>
        <w:gridCol w:w="3271"/>
        <w:gridCol w:w="346"/>
        <w:gridCol w:w="224"/>
        <w:gridCol w:w="482"/>
        <w:gridCol w:w="346"/>
        <w:gridCol w:w="213"/>
        <w:gridCol w:w="703"/>
        <w:gridCol w:w="346"/>
        <w:gridCol w:w="196"/>
        <w:gridCol w:w="751"/>
      </w:tblGrid>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Next 12</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millions</w:t>
            </w:r>
          </w:p>
        </w:tc>
        <w:tc>
          <w:tcPr>
            <w:tcW w:w="346" w:type="dxa"/>
            <w:tcBorders/>
            <w:vAlign w:val="center"/>
          </w:tcPr>
          <w:p>
            <w:pPr>
              <w:pStyle w:val="TableContents"/>
              <w:bidi w:val="0"/>
              <w:spacing w:before="0" w:after="1"/>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Months</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Thereafter</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w:t>
              <w:noBreakHyphen/>
              <w:t>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820.5</w:t>
            </w:r>
          </w:p>
        </w:tc>
      </w:tr>
      <w:tr>
        <w:trPr/>
        <w:tc>
          <w:tcPr>
            <w:tcW w:w="327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Interest</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4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896.5</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Pension plan contributions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4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Mandatorily redeemable financial instrument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204.6</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contractual cash obligations</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2,037.1</w:t>
            </w:r>
          </w:p>
        </w:tc>
      </w:tr>
    </w:tbl>
    <w:p>
      <w:pPr>
        <w:pStyle w:val="TextBody"/>
        <w:bidi w:val="0"/>
        <w:spacing w:lineRule="auto" w:line="240" w:before="240" w:after="240"/>
        <w:ind w:left="0" w:right="0" w:firstLine="720"/>
        <w:jc w:val="left"/>
        <w:rPr>
          <w:rFonts w:ascii="Times New Roman;Times;serif" w:hAnsi="Times New Roman;Times;serif"/>
          <w:sz w:val="20"/>
        </w:rPr>
      </w:pPr>
      <w:r>
        <w:rPr>
          <w:rFonts w:ascii="Times New Roman;Times;serif" w:hAnsi="Times New Roman;Times;serif"/>
          <w:sz w:val="15"/>
        </w:rPr>
        <w:t xml:space="preserve">1 </w:t>
      </w:r>
      <w:r>
        <w:rPr>
          <w:rFonts w:ascii="Times New Roman;Times;serif" w:hAnsi="Times New Roman;Times;serif"/>
          <w:sz w:val="20"/>
        </w:rPr>
        <w:t>Interest expense amount assumes that long-term debt will be held to maturity.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operates in cyclical markets, but our diverse portfolio—spanning various products, customers, and regions—has enabled us to navigate these cycles effectively while maintaining liquidity. Historically, we have consistently generated operating cash flows that exceed our capital expenditures, demonstrating our ability to manage cash effectively through economic cycles. For fiscal 2026 and beyond, we are confident in our liquidity position, supported by accessible credit facilities, capital markets, and a solid track record of positive operating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held $187.1 million in cash, including $144.0 million in non-U.S. subsidiaries. Distributions of this foreign cash would incur tax liabilities. As of December 27, 2025, we had liabilities of $2.2 million for foreign withholding taxes and $0.2 million for U.S. state income taxes.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summarizes our cash flow information for the fiscal years ended December 27, 2025, December 28, 2024, and December 30, 2023:</w:t>
      </w:r>
    </w:p>
    <w:tbl>
      <w:tblPr>
        <w:tblW w:w="7444" w:type="dxa"/>
        <w:jc w:val="left"/>
        <w:tblInd w:w="0" w:type="dxa"/>
        <w:tblLayout w:type="fixed"/>
        <w:tblCellMar>
          <w:top w:w="0" w:type="dxa"/>
          <w:left w:w="0" w:type="dxa"/>
          <w:bottom w:w="0" w:type="dxa"/>
          <w:right w:w="0" w:type="dxa"/>
        </w:tblCellMar>
      </w:tblPr>
      <w:tblGrid>
        <w:gridCol w:w="2941"/>
        <w:gridCol w:w="346"/>
        <w:gridCol w:w="222"/>
        <w:gridCol w:w="918"/>
        <w:gridCol w:w="346"/>
        <w:gridCol w:w="222"/>
        <w:gridCol w:w="918"/>
        <w:gridCol w:w="346"/>
        <w:gridCol w:w="220"/>
        <w:gridCol w:w="965"/>
      </w:tblGrid>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456,484</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572,678</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306,775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(142,739)</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(78,878)</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(115,281)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(298,862)</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(522,560)</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(176,405)</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 xml:space="preserve">Operating Cash Flows and Working Capital </w:t>
      </w:r>
      <w:r>
        <w:rPr>
          <w:rFonts w:ascii="Times New Roman;Times;serif" w:hAnsi="Times New Roman;Times;serif"/>
          <w:sz w:val="20"/>
        </w:rPr>
        <w:t>– Cash provided by operating activities totaled $456.5 million in fiscal 2025, compared to $572.7 million in fiscal 2024. The change in operating cash flows was most notably impacted by the change in our contract liability due to the timing of large utility prepayments received in fiscal 2024 for work completed in fiscal 2025. This was offset by lower income tax payments made in fiscal 2025 relative to fiscal 2024 largely as a result of our worthless securities deduction in addition to the tax provisions in the One Big Beautiful Bill Act.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Investing Cash Flows </w:t>
      </w:r>
      <w:r>
        <w:rPr>
          <w:rFonts w:ascii="Times New Roman;Times;serif" w:hAnsi="Times New Roman;Times;serif"/>
          <w:sz w:val="20"/>
        </w:rPr>
        <w:t xml:space="preserve">– Cash used in investing activities totaled $142.7 million in fiscal 2025, compared to $78.9 million in fiscal 2024. Investing activities in fiscal 2025 included capital spending of $145.0 million partially offset by proceeds of sales of assets of $2.2 million and proceeds from property damage insurance claims of $1.4 million. Investing activities in fiscal 2024 included capital spending of $79.5 million partially offset by proceeds of $3.8 million from the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divestitures of George Industries and the extractive business, net of cash divested. The increase in capital spending in fiscal 2025, as compared to fiscal 2024, was primarily to support future growth along with capacity investments for the Utility product 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Financing Cash Flows </w:t>
      </w:r>
      <w:r>
        <w:rPr>
          <w:rFonts w:ascii="Times New Roman;Times;serif" w:hAnsi="Times New Roman;Times;serif"/>
          <w:sz w:val="20"/>
        </w:rPr>
        <w:t>– Cash used in financing activities totaled $298.9 million in fiscal 2025, compared to $522.6 million in fiscal 2024. Our total interest</w:t>
        <w:noBreakHyphen/>
        <w:t>bearing debt was $829.5 million as of December 27, 2025 and $757.9 million as of December 28, 2024. Financing activities in fiscal 2025 included $218.6 million in borrowings on the revolving credit facility and short-term notes, offset by $156.1 million in principal payments on our long-term debt and short-term borrowings, $52.5 million in dividend payments, $198.1 million in stock repurchases, $101.8 million in purchases of redeemable noncontrolling interests, and $6.5 million in net activity from stock option and incentive plans, including related tax payments. Financing activities in fiscal 2024 included $45.1 million in borrowings on the revolving credit facility and short-term notes, offset by $424.6 million in principal payments of on our long-term debt and short-term borrowings, $48.4 million in dividend payments, $70.1 million in stock repurchases, $17.8 million in purchases of redeemable noncontrolling interests, and $6.4 million in net activity from stock option and incentive plans, including related tax payments.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Guarantor Summarized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information is provided in compliance with Rule 3-10 and Rule 13-01 of Regulation S-X, relating to our two tranches of senior unsecured notes. These senior notes are jointly, severally, fully, and unconditionally guaranteed—subject to certain customary release provisions, including the sale of the subsidiary guarantor or of all or substantially all of its assets—by certain of our current and future direct and indirect domestic and foreign subsidiaries (collectively, the “Guarantors”). The Parent serves as the Issuer of the notes and consolidates all Guarantors.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information for the Issuer and Guarantors is presented on a combined basis, with intercompany balances and transactions between the Issuer and Guarantors eliminated. Any amounts due to or from the Issuer or Guarantors, as well as transactions with non-guarantor subsidiaries, are disclosed separately.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combined financial information for the fiscal years ended December 27, 2025, December 28, 2024, and December 30, 2023 was as follows:</w:t>
      </w:r>
    </w:p>
    <w:tbl>
      <w:tblPr>
        <w:tblW w:w="8062" w:type="dxa"/>
        <w:jc w:val="left"/>
        <w:tblInd w:w="0" w:type="dxa"/>
        <w:tblLayout w:type="fixed"/>
        <w:tblCellMar>
          <w:top w:w="0" w:type="dxa"/>
          <w:left w:w="0" w:type="dxa"/>
          <w:bottom w:w="0" w:type="dxa"/>
          <w:right w:w="0" w:type="dxa"/>
        </w:tblCellMar>
      </w:tblPr>
      <w:tblGrid>
        <w:gridCol w:w="3796"/>
        <w:gridCol w:w="109"/>
        <w:gridCol w:w="218"/>
        <w:gridCol w:w="922"/>
        <w:gridCol w:w="346"/>
        <w:gridCol w:w="218"/>
        <w:gridCol w:w="922"/>
        <w:gridCol w:w="346"/>
        <w:gridCol w:w="217"/>
        <w:gridCol w:w="968"/>
      </w:tblGrid>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r>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3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2,874,244</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2,753,999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2,713,928</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855,612</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828,055</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756,966</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379,938</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354,719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255,401</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340,563</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220,790</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134,831</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340,563</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220,790</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68"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133,300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combined financial information as of December 27, 2025 and December 28, 2024 was as follows:</w:t>
      </w:r>
    </w:p>
    <w:tbl>
      <w:tblPr>
        <w:tblW w:w="4683" w:type="dxa"/>
        <w:jc w:val="left"/>
        <w:tblInd w:w="0" w:type="dxa"/>
        <w:tblLayout w:type="fixed"/>
        <w:tblCellMar>
          <w:top w:w="0" w:type="dxa"/>
          <w:left w:w="0" w:type="dxa"/>
          <w:bottom w:w="0" w:type="dxa"/>
          <w:right w:w="0" w:type="dxa"/>
        </w:tblCellMar>
      </w:tblPr>
      <w:tblGrid>
        <w:gridCol w:w="1666"/>
        <w:gridCol w:w="346"/>
        <w:gridCol w:w="218"/>
        <w:gridCol w:w="922"/>
        <w:gridCol w:w="346"/>
        <w:gridCol w:w="206"/>
        <w:gridCol w:w="979"/>
      </w:tblGrid>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901,456</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805,713</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 assets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851,743</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835,197</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415,155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470,652</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1,241,800</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1,091,773</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non-current assets included a receivable from non-guarantor subsidiaries of $83,641 and $90,938, respectively. As of December 27, 2025 and December 28, 2024, non-current liabilities included a payable to non-guarantor subsidiaries of $325,225 and $243,465, respectively.</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Selected Financial Measures</w:t>
      </w:r>
    </w:p>
    <w:p>
      <w:pPr>
        <w:pStyle w:val="TextBody"/>
        <w:pBdr/>
        <w:bidi w:val="0"/>
        <w:spacing w:before="0" w:after="240"/>
        <w:ind w:left="720" w:right="0" w:hanging="360"/>
        <w:jc w:val="left"/>
        <w:rPr>
          <w:rFonts w:ascii="Times New Roman;Times;serif" w:hAnsi="Times New Roman;Times;serif"/>
          <w:i/>
          <w:sz w:val="20"/>
        </w:rPr>
      </w:pPr>
      <w:r>
        <w:rPr>
          <w:rFonts w:ascii="Times New Roman;Times;serif" w:hAnsi="Times New Roman;Times;serif"/>
          <w:i/>
          <w:sz w:val="20"/>
        </w:rPr>
        <w:t>Return on Invested Capital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Return on invested capital (“ROIC”) and Adjusted ROIC are key operating ratios that enable investors to assess our operating performance relative to the investment needed to generate operating profit. These measures are also utilized to determine management incentives. ROIC is calculated by dividing after-tax operating income by the average of beginning and ending invested capital. Adjusted ROIC is calculated as after-tax operating income, adjusted for certain non-recurring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charges or gains. The adjusted figure is then divided by the average of beginning and ending invested capital to determine Adjusted ROIC. Invested capital represents total assets minus total liabilities (excluding mandatorily redeemable financial instrument, interest-bearing debt, and redeemable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ROIC and Adjusted ROIC are non-generally accepted accounting principles (“GAAP”) measures. As such, invested capital, ROIC, and Adjusted ROIC should not be considered in isolation or as substitutes for net earnings, cash flows from operations, or other income or cash flow data prepared in accordance with GAAP, nor should they be viewed as indicators of our operating performance or liquidity. Additionally, ROIC and Adjusted ROIC, as presented, may not be directly comparable to similarly titled measures used by other companies. The following table shows how invested capital, ROIC, and Adjusted ROIC are calculated from our Consolidated Statements of Earnings and our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calculation of these ratios for the fiscal years ended December 27, 2025, December 28, 2024, and December 30, 2023 was as follows:</w:t>
      </w:r>
    </w:p>
    <w:tbl>
      <w:tblPr>
        <w:tblW w:w="6970" w:type="dxa"/>
        <w:jc w:val="left"/>
        <w:tblInd w:w="0" w:type="dxa"/>
        <w:tblLayout w:type="fixed"/>
        <w:tblCellMar>
          <w:top w:w="0" w:type="dxa"/>
          <w:left w:w="0" w:type="dxa"/>
          <w:bottom w:w="0" w:type="dxa"/>
          <w:right w:w="0" w:type="dxa"/>
        </w:tblCellMar>
      </w:tblPr>
      <w:tblGrid>
        <w:gridCol w:w="2941"/>
        <w:gridCol w:w="346"/>
        <w:gridCol w:w="218"/>
        <w:gridCol w:w="922"/>
        <w:gridCol w:w="109"/>
        <w:gridCol w:w="218"/>
        <w:gridCol w:w="922"/>
        <w:gridCol w:w="109"/>
        <w:gridCol w:w="206"/>
        <w:gridCol w:w="979"/>
      </w:tblGrid>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68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415,576</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524,584</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291,557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 on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(26,261)</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(132,050)</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(111,124)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After-tax operating income</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389,315</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392,534</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180,433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invested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2,343,300</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2,396,436</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2,504,474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Return on invested capital</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r>
      <w:tr>
        <w:trPr/>
        <w:tc>
          <w:tcPr>
            <w:tcW w:w="29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415,576</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524,584</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291,557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140,844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35,210</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14,874</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operating income</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537,853</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524,584</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473,237</w:t>
            </w:r>
          </w:p>
        </w:tc>
      </w:tr>
      <w:tr>
        <w:trPr/>
        <w:tc>
          <w:tcPr>
            <w:tcW w:w="29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Adjusted effective tax rate</w:t>
            </w:r>
            <w:r>
              <w:rPr>
                <w:rFonts w:ascii="Times New Roman;Times;serif" w:hAnsi="Times New Roman;Times;serif"/>
                <w:sz w:val="14"/>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 on adjusted operating income</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(124,599)</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(132,050)</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(122,568)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After-tax adjusted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413,254</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392,534</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350,669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invested capital</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2,343,300</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2,396,436</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2,504,474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return on invested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3,369,329</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3,329,972</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3,477,448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Defined benefit pension asset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(39,666)</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(46,520)</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(15,404)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(359,539)</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(372,197)</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(358,311)</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Accrued expenses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(284,751)</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(275,407)</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(277,764)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(52,013)</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(126,932)</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(70,978)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Income taxes payable</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(12,604)</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(22,509)</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Dividends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(13,278)</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(12,019)</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Deferred income taxes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(5,316)</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(6,344)</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(21,205)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(130,007)</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(134,534)</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(162,743)</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Deferred compensation</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(27,379)</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(32,623)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(35,320)</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(26,736)</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(12,818)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invested capital</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2,407,204</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2,279,395</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2,513,477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invested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2,279,395</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2,513,477</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2,495,471</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invested capital</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2,343,300</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2,396,436</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2,504,474</w:t>
            </w:r>
          </w:p>
        </w:tc>
      </w:tr>
    </w:tbl>
    <w:p>
      <w:pPr>
        <w:pStyle w:val="TextBody"/>
        <w:bidi w:val="0"/>
        <w:spacing w:lineRule="auto" w:line="240" w:before="240" w:after="240"/>
        <w:ind w:left="0" w:right="0" w:firstLine="720"/>
        <w:jc w:val="left"/>
        <w:rPr>
          <w:rFonts w:ascii="Times New Roman;Times;serif" w:hAnsi="Times New Roman;Times;serif"/>
          <w:sz w:val="20"/>
        </w:rPr>
      </w:pPr>
      <w:r>
        <w:rPr>
          <w:rFonts w:ascii="Times New Roman;Times;serif" w:hAnsi="Times New Roman;Times;serif"/>
          <w:sz w:val="15"/>
        </w:rPr>
        <w:t xml:space="preserve">1 </w:t>
      </w:r>
      <w:r>
        <w:rPr>
          <w:rFonts w:ascii="Times New Roman;Times;serif" w:hAnsi="Times New Roman;Times;serif"/>
          <w:sz w:val="20"/>
        </w:rPr>
        <w:t>The adjusted effective tax rate for fiscal 2023 excluded the effects of the impairment of long-lived assets of $140.8 million, realignment charges of $35.2 million, non-recurring charges associated with major scope changes for two strategic projects initiated by departed senior leadership of $5.6 million, loss from Argentine peso hyperinflation of $5.1 million, and non-recurring tax benefit items of $3.6 million. The effective tax rate including these items was 38.1%.</w:t>
      </w:r>
    </w:p>
    <w:p>
      <w:pPr>
        <w:pStyle w:val="TextBody"/>
        <w:bidi w:val="0"/>
        <w:spacing w:lineRule="auto" w:line="240" w:before="240" w:after="240"/>
        <w:ind w:left="0" w:right="0" w:firstLine="720"/>
        <w:jc w:val="left"/>
        <w:rPr>
          <w:rFonts w:ascii="Times New Roman;Times;serif" w:hAnsi="Times New Roman;Times;serif"/>
          <w:sz w:val="20"/>
        </w:rPr>
      </w:pPr>
      <w:r>
        <w:rPr>
          <w:rFonts w:ascii="Times New Roman;Times;serif" w:hAnsi="Times New Roman;Times;serif"/>
          <w:sz w:val="15"/>
        </w:rPr>
        <w:t xml:space="preserve">2 </w:t>
      </w:r>
      <w:r>
        <w:rPr>
          <w:rFonts w:ascii="Times New Roman;Times;serif" w:hAnsi="Times New Roman;Times;serif"/>
          <w:sz w:val="20"/>
        </w:rPr>
        <w:t>The adjusted effective tax rate for fiscal 2025 excluded the effects of the impairment of long-lived assets of $91.3 million, the worthless securities deduction and release of foreign tax credit valuation allowances totaling $78.5 million, realignment charges of $16.1 million (of which $0.7 million was included in cost of goods sold), and other non-recurring charges including costs to fulfill contractually required payments for system licenses no longer needed and asset valuation adjustments for a joint venture agriculture solar business totaling $14.9 million (of which $0.7 million was included in cost of goods sold). The effective tax rate including these items was 6.3%.</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Adjusted EBITDA and Leverage Ratio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leverage ratio is a key financial metric we use to assess our maximum borrowing capacity. It is defined as the ratio of (a) interest-bearing debt, minus unrestricted cash in excess of $50.0 million (but not exceeding $500.0 million), to (b) Adjusted EBITDA. In the event of an acquisition or divestiture, Adjusted EBITDA is calculated on a pro forma basis, reflecting the transaction as if it had occurred on the first day of the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revolving credit facility requires us to maintain a leverage ratio of 3.50 or lower (or 3.75 or lower following certain material acquisitions) on a rolling four-fiscal-quarter basis, measured as of the last day of each fiscal quarter. Failure to comply with this financial covenant may result in higher financing costs or early debt repayment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leverage ratio and Adjusted EBITDA are non-GAAP measures. As presented, these measures may not be directly comparable to similarly titled measures used by other companies. They should not be considered in isolation or as a substitute for net earnings, cash flows from operations, or other income or cash flow data prepared in accordance with GAAP. Additionally, they should not be interpreted as indicators of operating performance or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calculation of Adjusted EBITDA for the fiscal year ended December 27, 2025 was as follows:</w:t>
      </w:r>
    </w:p>
    <w:tbl>
      <w:tblPr>
        <w:tblW w:w="5147" w:type="dxa"/>
        <w:jc w:val="left"/>
        <w:tblInd w:w="0" w:type="dxa"/>
        <w:tblLayout w:type="fixed"/>
        <w:tblCellMar>
          <w:top w:w="0" w:type="dxa"/>
          <w:left w:w="0" w:type="dxa"/>
          <w:bottom w:w="0" w:type="dxa"/>
          <w:right w:w="0" w:type="dxa"/>
        </w:tblCellMar>
      </w:tblPr>
      <w:tblGrid>
        <w:gridCol w:w="3241"/>
        <w:gridCol w:w="346"/>
        <w:gridCol w:w="308"/>
        <w:gridCol w:w="1252"/>
      </w:tblGrid>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32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456,484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40,542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23,864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19,196</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(1,052)</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3,159</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82,424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(2,369)</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Non-recurring non-cash charges</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1"/>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638,817</w:t>
            </w:r>
          </w:p>
        </w:tc>
      </w:tr>
    </w:tbl>
    <w:p>
      <w:pPr>
        <w:pStyle w:val="TextBody"/>
        <w:bidi w:val="0"/>
        <w:spacing w:before="0" w:after="240"/>
        <w:ind w:left="0" w:right="0" w:hanging="0"/>
        <w:jc w:val="left"/>
        <w:rPr>
          <w:shd w:fill="FFFF00" w:val="clear"/>
        </w:rPr>
      </w:pPr>
      <w:r>
        <w:rPr>
          <w:shd w:fill="FFFF00" w:val="clear"/>
        </w:rPr>
        <w:t>​</w:t>
      </w:r>
    </w:p>
    <w:tbl>
      <w:tblPr>
        <w:tblW w:w="5465" w:type="dxa"/>
        <w:jc w:val="left"/>
        <w:tblInd w:w="0" w:type="dxa"/>
        <w:tblLayout w:type="fixed"/>
        <w:tblCellMar>
          <w:top w:w="0" w:type="dxa"/>
          <w:left w:w="0" w:type="dxa"/>
          <w:bottom w:w="0" w:type="dxa"/>
          <w:right w:w="0" w:type="dxa"/>
        </w:tblCellMar>
      </w:tblPr>
      <w:tblGrid>
        <w:gridCol w:w="3796"/>
        <w:gridCol w:w="109"/>
        <w:gridCol w:w="308"/>
        <w:gridCol w:w="1252"/>
      </w:tblGrid>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109"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350,273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40,542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23,864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88,509</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24,308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Non-recurring non-cash charges</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3,918</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638,817</w:t>
            </w:r>
          </w:p>
        </w:tc>
      </w:tr>
    </w:tbl>
    <w:p>
      <w:pPr>
        <w:pStyle w:val="TextBody"/>
        <w:bidi w:val="0"/>
        <w:spacing w:before="240" w:after="240"/>
        <w:ind w:left="720" w:right="0" w:hanging="0"/>
        <w:jc w:val="left"/>
        <w:rPr>
          <w:rFonts w:ascii="Times New Roman;Times;serif" w:hAnsi="Times New Roman;Times;serif"/>
          <w:sz w:val="20"/>
        </w:rPr>
      </w:pPr>
      <w:r>
        <w:rPr>
          <w:rFonts w:ascii="Times New Roman;Times;serif" w:hAnsi="Times New Roman;Times;serif"/>
          <w:sz w:val="20"/>
        </w:rPr>
        <w:t>The calculation of the leverage ratio as of December 27, 2025 was as follows:</w:t>
      </w:r>
    </w:p>
    <w:tbl>
      <w:tblPr>
        <w:tblW w:w="6872" w:type="dxa"/>
        <w:jc w:val="left"/>
        <w:tblInd w:w="0" w:type="dxa"/>
        <w:tblLayout w:type="fixed"/>
        <w:tblCellMar>
          <w:top w:w="0" w:type="dxa"/>
          <w:left w:w="0" w:type="dxa"/>
          <w:bottom w:w="0" w:type="dxa"/>
          <w:right w:w="0" w:type="dxa"/>
        </w:tblCellMar>
      </w:tblPr>
      <w:tblGrid>
        <w:gridCol w:w="5341"/>
        <w:gridCol w:w="346"/>
        <w:gridCol w:w="249"/>
        <w:gridCol w:w="936"/>
      </w:tblGrid>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left"/>
              <w:rPr/>
            </w:pPr>
            <w:r>
              <w:rPr/>
              <w:t>​</w:t>
            </w:r>
          </w:p>
        </w:tc>
      </w:tr>
      <w:tr>
        <w:trPr/>
        <w:tc>
          <w:tcPr>
            <w:tcW w:w="53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debt, excluding origination fees and discounts of $24,892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829,477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Cash and cash equivalents in excess of $50,000</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137,140</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indebtedness</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692,337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638,817</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Leverage ratio</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1.08</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Changes in Prices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certain key materials, including steel, aluminum, zinc, natural gas, and diesel fuel, which are globally traded commodities. As a result, their prices fluctuate based on factors such as supply and demand shifts and the costs of steel</w:t>
        <w:noBreakHyphen/>
        <w:t>making inputs. These fluctuations can significantly impact our operating performance and cost of goods sold. Additionally, recent trade policies and tariffs could increase the cost of goods we and our suppliers purchase from Canada, China, and Mexico, potentially leading to higher manufacturing costs for Infrastructure structures.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Steel is particularly critical for our Utility product line, where it represents approximately 50% of net sales. In fiscal 2018, we began using hot-rolled steel coil derivative contracts on a limited basis to help mitigate the impact of rising steel prices on our operating income. For the fiscal year ended December 27, 2025, a hypothetical 20% change in steel prices could have impacted net sales in this product line by approximately $110.0 million, assuming a similar sales mix.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Natural gas prices have been highly volatile in recent years. To manage these risks, we employ strategies such as implementing fixed-price purchase contracts with our vendors to stabilize our purchasing costs and raising sales prices where feasible. Additionally, we use natural gas swap contracts on a limited basis to help offset the impact of rising natural gas prices on our operating income.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Risk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several principal market risks, including fluctuations in interest rates, foreign currency exchange rates, and commodity prices. To mitigate these risks, we selectively use derivative financial instruments. However, we do not use derivatives for trading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xml:space="preserve"> As of December 27, 2025, most of our interest</w:t>
        <w:noBreakHyphen/>
        <w:t>bearing debt was fixed rate. We have available to us a revolving credit facility, with an outstanding balance of $65.0 million as of December 27, 2025. Our notes payable, revolving credit facility, and a minor portion of our long-term debt accrue interest at variable rates. As a result, changes in interest rates could affect our future borrowing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Foreign Exchange Risk:</w:t>
      </w:r>
      <w:r>
        <w:rPr>
          <w:rFonts w:ascii="Times New Roman;Times;serif" w:hAnsi="Times New Roman;Times;serif"/>
          <w:sz w:val="20"/>
        </w:rPr>
        <w:t xml:space="preserve"> Our exposure to transactions in currencies other than an entity’s functional currency is minimal. Consequently, potential exchange losses on future earnings, fair value, and cash flows are not material. However, we are exposed to investment risks related to our foreign operations. To manage these risks, we occasionally enter into foreign currency contracts. As of December 27, 2025, we had three outstanding fixed-for-fixed cross currency swap (“CCS”) agreements. These swaps exchange U.S. dollar principal and interest payments on a portion of our 5.00% senior unsecured notes due in fiscal 2044 for foreign-currency-denominated payments. These CCSs were initiated in fiscal 2024 and fiscal 2025 to mitigate foreign currency risk associated with our foreign-currency-denominated investments and to reduce interest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first quarter of fiscal 2024, we early settled a euro net investment hedge entered into during fiscal 2019, resulting in us receiving proceeds of $2.7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significant portion of our cash in non-U.S. entities is held in foreign currencies, meaning fluctuations in exchange rates will impact our cash balances when converted to U.S. dollars. A 10% fluctuation in the U.S. dollar’s value would have affected our reported cash balance by approximately $11.6 million in fiscal 2025 and $8.7 million in fiscal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manage our investment risk in foreign operations, we either borrow in the functional currencies of those foreign entities or utilize appropriate hedging instruments, such as foreign currency swaps. The following table shows the change in the recorded value of our most significant investments as of December 27, 2025 and December 28, 2024, assuming a hypothetical 10% change in the value of the U.S. dollar.</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488" w:type="dxa"/>
        <w:jc w:val="left"/>
        <w:tblInd w:w="0" w:type="dxa"/>
        <w:tblLayout w:type="fixed"/>
        <w:tblCellMar>
          <w:top w:w="0" w:type="dxa"/>
          <w:left w:w="0" w:type="dxa"/>
          <w:bottom w:w="0" w:type="dxa"/>
          <w:right w:w="0" w:type="dxa"/>
        </w:tblCellMar>
      </w:tblPr>
      <w:tblGrid>
        <w:gridCol w:w="1471"/>
        <w:gridCol w:w="346"/>
        <w:gridCol w:w="361"/>
        <w:gridCol w:w="779"/>
        <w:gridCol w:w="346"/>
        <w:gridCol w:w="350"/>
        <w:gridCol w:w="835"/>
      </w:tblGrid>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millions</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Australian dollar</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Brazilian real</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British pound</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Canadian dollar</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Chinese renminbi</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Euro</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Indian rupee</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5.2</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 xml:space="preserve">Commodity Risk: </w:t>
      </w:r>
      <w:r>
        <w:rPr>
          <w:rFonts w:ascii="Times New Roman;Times;serif" w:hAnsi="Times New Roman;Times;serif"/>
          <w:sz w:val="20"/>
        </w:rPr>
        <w:t>Hot-rolled steel coil is a key input for both of our segments except the Coatings product line. Due to steel price volatility, we use derivative financial instruments to mitigate commodity price risks, particularly for fixed-price orders. In both fiscal 2025 and fiscal 2024, we entered into forward contracts and swaps for hot-rolled steel coil that qualified as cash flow hedges. These contracts help manage variability in cash flows from future steel purchases. As of December 27, 2025, we had open forward contracts and swaps with a notional amount of $6.2 million, covering the purchase of 7,250 short tons in December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Natural gas is another significant commodity used in our manufacturing processes, particularly in our Coatings product line, where it is used to heat tanks for the hot-dipped galvanizing process. Due to the volatility of natural gas prices, we mitigate this risk through derivative financial instruments. Our policy is to hedge 0% to 75% of our U.S. natural gas needs for the next 6 to 24 months using swaps tied to New York Mercantile Exchange futures. These swaps are designed to reduce the impact of sudden and significant increases in natural gas prices on our earnings. As of December 27, 2025, we had open natural gas swaps with a notional value of $0.8 million for 210,000 MMBtu from January 2026 to December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Diesel fuel is a major cost for our contracted carriers transporting our products. Diesel fuel prices are subject to volatility, which we manage through the use of derivative financial instruments. In fiscal 2025 and fiscal 2024, we entered into diesel fuel option contracts that qualified as cash flow hedges. These contracts help stabilize cash flows amid fluctuating diesel fuel costs charged by carriers. As of December 27, 2025, we had open option contracts with a notional amount of $8.3 million for the total purchase of 4,032,000 gallons of diesel fuel from December 2025 to June 2027.</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Zinc is a critical input for our Coatings product line, where it is used in the hot-dipped galvanizing process. Zinc prices can be volatile due to global supply and demand dynamics, energy costs, and commodity market speculation. To mitigate the risk of rising zinc prices and manage variability in future cash flows, in fiscal 2025 we entered into forward contracts for zinc that qualified as cash flow hedges. These contracts are intended to stabilize the cost of zinc used in our galvanizing operations. As of December 27, 2025, we had open zinc forward contracts with a notional amount of $8.8 million, covering the purchase of 2,880 metric tons of zinc from January 2026 to December 2027.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described below involve significant judgments and estimates that are used in preparing our Consolidated Financial Statements. Management exercises substantial judgment in determining these estimates, which are essential to our financial reporting. The key areas that involve such estimates include impairments of goodwill and other intangible assets, income taxes, revenue recognition for our Infrastructure product lines recognized over time, and inventory obsolescence. These estimates are based on our past experiences and other assumptions that we believe to be reasonable given the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continually re-evaluate these estimates as circumstances evolve, understanding that actual results may differ due to changes in assumptions or conditions. To ensure accuracy and transparency in our financial reporting, the selection and application of our critical accounting policies are reviewed annually by our Audit Committee.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long-lived assets include property, plant, and equipment, right-of-use assets, and certain other intangible assets acquired through business acquisitions. We assign useful lives to these assets based on their nature and expected usage, with ranges typically spanning from 3 to 30 years.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Impairment of Goodwill and Other 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goodwill for impairment annually during the third fiscal quarter, aligning this assessment with our strategic planning process. For the fiscal 2025 annual goodwill impairment test, we estimated the fair value of the eleven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reporting units with recorded goodwill using a discounted cash flow model. This model factors in projected after-tax cash flows from operations, net of capital expenditures, discounted to their present value. Additionally, we perform sensitivity analyses to assess the impact of changes in key assumptions, such as discount rates and cash flow forecasts, on the valuation of the reporting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fiscal 2025 annual impairment testing, no reporting units had a fair value lower than their carrying value. However, in the second quarter of fiscal 2025, we identified triggering events that required interim goodwill impairment testing for certain reporting units within the Infrastructure segment, resulting in impairments totaling $64.9 million. For fiscal 2024, no reporting units had a fair value lower than their carrying value. For fiscal 2023, two reporting units had estimated fair values below their carrying values, resulting in impairments: $120.0 million for the Agriculture segment and $1.9 million for the Infrastructure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reporting units are cyclical, and their sales and profitability may fluctuate from year to year. For our APAC Highway Safety and EMEA Structures reporting units, with a combined goodwill of approximately $43.6 million, the amount of cushion or excess fair value above their carrying values was less than or approximately 15% as of the most recent impairment test. In addition, our Access Systems reporting unit, with goodwill of approximately $9.5 million, had zero excess fair value over its carrying value following a goodwill impairment recorded during the second quarter of fiscal 2025. We believe these reporting units will generate positive cash flows that meet or exceed their current carrying values, and we will continue to monitor their growth prospects and opportunities for continuous improvement.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discount rate is a key assumption in our goodwill impairment analyses, as it reflects management’s assessment of the time value of money and the risks inherent in each reporting unit’s projected cash flows. Based on the results of our fiscal 2025 annual impairment testing, the estimated fair value of each reporting unit exceeded its carrying value. Management believes that a hypothetical increase of 50 basis points in the discount rate, considered in isolation, would not have resulted in an impairment for any reporting unit as of the testing date with the exception of the Access Systems reporting unit which would have had an incremental $2.7 million impairment. However, changes in multiple assumptions simultaneously, or adverse changes in future operating performance or market conditions, could significantly impact the estimated fair values of our reporting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actively monitor the global economy for potential factors that could impact the operating results of our reporting units. Should adverse conditions arise, we will conduct an impairment test for any affected reporting units prior to our annual testing. When evaluating reporting units, we focus on their long-term prospects, recognizing that current performance may not always be indicative of future value, which requires management judgment, particularly regarding cash flow projections.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indefinite-lived intangible assets primarily consist of trade names, which are tested separately from goodwill. We use the relief-from-royalty method to value these assets, calculating the potential royalty a third party might pay to use the trade name, which is then discounted to present value and tax-effected. For the fiscal 2025 annual impairment testing, the fair value of our trade names exceeded their carrying value. However, in the second quarter of fiscal 2025, based upon an interim triggering event, we performed a test on certain indefinite-lived trade names and two trade names’ carrying values exceeded their fair values, resulting in a $4.8 million impairment within the Infrastructure segment. For fiscal 2024, the fair value of our trade names exceeded their carrying value. For fiscal 2023, one trade name’s carrying value exceeded its fair value, resulting in a $1.7 million impairment within the Infrastructure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in the second quarter of fiscal 2025, due to identified impairment indicators, we tested the recoverability of an amortizing customer relationship intangible asset in the Agriculture segment. We determined the asset’s carrying value exceeded its total undiscounted estimated future cash flows. As a result, we recognized a $1.4 million impairment within the Agriculture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Similarly, in the third quarter of fiscal 2023, due to identified impairment indicators, we tested the recoverability of an amortizing proprietary technology intangible asset related to the Prospera subsidiary, which is part of the Agriculture segment. We determined the asset’s carrying value exceeded its total undiscounted estimated future cash flows. As a result, we recognized a $17.3 million impairment within the Agriculture segment.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are valued at the lower of cost or net realizable value. Cost is determined using either the first-in, first-out method or the weighted average cost method, depending on inventory management practices at each location.</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regularly assess the value of our inventory and record write-downs for slow-moving, obsolete, or excess inventory. The amount of any write-down is calculated as the difference between the inventory’s carrying value and our estimate of its net realizable value. These estimates consider, among other factors, potential future uses of the inventory, the likelihood of selling overstocked inventory, and expected selling prices.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actual demand, market conditions, or realizability differ from our assumptions, additional inventory write-downs could be required, which could materially affect our results of operations.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valuation allowances to adjust deferred tax assets to amounts that we anticipate are more likely than not to be realized. In assessing the need for these allowances, we consider anticipated future taxable income and tax-planning strategies. If we determine that a deferred tax asset is not expected to be fully realized, we increase the valuation allowance, which reduces net earnings in that period. Conversely, if we later determine that all or part of a net deferred tax asset is realizable, reducing the valuation allowance would increase net earnings for that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we had approximately $59.3 million in deferred tax assets related to tax credits and loss carryforwards, with a valuation allowance of $30.4 million, including $7.6 million for capital loss carryforwards that are unlikely to be realized. In fiscal 2025, in an effort to simplify and align legal entity structure, we were able to generate additional foreign source income that allowed us to utilize certain foreign tax credits that previously had a full valuation allowance. This resulted in a $13.4 million income tax benefit in fiscal 2025. Additional changes in circumstance surrounding deferred tax assets may require adjustments to this allowance, which could impact income tax expense and net income in future periods. Additionally, as the earnings of our non-U.S. subsidiaries (in which we own more than 50%) are not considered indefinitely reinvested, we have recorded a deferred tax liability of $2.4 million, representing taxes to be incurred upon repatriation of these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operations are subject to examination by tax authorities in the various countries in which we operate, with the years open to examination varying by jurisdiction. We regularly evaluate potential additional income tax assessments based on past audit experiences and our understanding of relevant tax issues. Any changes to accruals for potential tax deficiencies are included in current income tax expense. Discrepancies between our estimates and actual outcomes in this area could impact our income tax expense in a given fiscal period.</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Revenue Recognition Over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recognition for our contracts is determined by analyzing the specific type, terms, and conditions of each contract with customers. Approximately $1.5 billion of revenue within the Infrastructure segment is recognized over time, which requires more judgment and estimation of expected costs to be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contracts, particularly those for utility structures and telecommunication monopole structures, are engineered to meet customer specifications, making them unsuitable for alternative customers if canceled after production begins. The continuous transfer of control to the customer is evidenced by either contractual termination clauses or rights to payment for work performed to date, plus a reasonable profit, as the products do not have alternative uses to us. For these products, revenue is recognized over time based on progress toward completion of the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Utility and Telecommunications products, revenue is recognized using an input-based method, where total production hours incurred to date are measured as a percentage of the total estimated hours for the order. The completion percentage is applied to the total contract revenue and estimated costs to calculate revenue, cost of goods sold, and gross profit. Our enterprise resource planning system tracks the total incurred costs and production hours to date, along with the estimated hours to complete.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relies on assumptions and estimates regarding manufacturing labor, materials, overhead, and burden recovery rates at each production facility. Production typically completes within three months once it begins, with profitability on open production orders reviewed monthly.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Occasionally, Utility customer orders may require up to three years to complete, often due to the number of structures involved. If actual costs deviate significantly from initial projections, burden rates and production hours per structure may be adjusted, recalibrating revenue recognition for future periods to reflect updated production schedules. During fiscal 2025, 2024, and 2023, no significant input or estimate adjustments were made that impacted revenue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recognition for prior fiscal years. If a loss on a performance obligation is projected, a provision for loss is recognized, regardless of production status.</w:t>
      </w:r>
    </w:p>
    <w:p>
      <w:pPr>
        <w:pStyle w:val="TextBody"/>
        <w:bidi w:val="0"/>
        <w:spacing w:before="0" w:after="240"/>
        <w:ind w:left="0" w:right="0" w:hanging="0"/>
        <w:jc w:val="left"/>
        <w:rPr>
          <w:rFonts w:ascii="Times New Roman;Times;serif" w:hAnsi="Times New Roman;Times;serif"/>
          <w:b/>
          <w:sz w:val="20"/>
        </w:rPr>
      </w:pPr>
      <w:bookmarkStart w:id="68" w:name="ITEM7AQUANTITATIVEANDQUALITATIVEDISCLOSU"/>
      <w:bookmarkStart w:id="69" w:name="_dc5fa7c9_179e_4889_82a4_87d92a44dc21"/>
      <w:bookmarkEnd w:id="68"/>
      <w:bookmarkEnd w:id="69"/>
      <w:r>
        <w:rPr>
          <w:rFonts w:ascii="Times New Roman;Times;serif" w:hAnsi="Times New Roman;Times;serif"/>
          <w:b/>
          <w:sz w:val="20"/>
        </w:rPr>
        <w:t>ITEM 7A.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included in the section “Market Risk” within “Management’s Discussion and Analysis of Financial Condition and Results of Operations” in Part II, Item 7 of this report.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 w:name="ITEM8FINANCIALSTATEMENTSANDSUPPLEMENTARY"/>
      <w:bookmarkStart w:id="71" w:name="_9e8c9150_fb7d_428e_a1b1_3ef0b5600c61"/>
      <w:bookmarkEnd w:id="70"/>
      <w:bookmarkEnd w:id="71"/>
      <w:r>
        <w:rPr>
          <w:rFonts w:ascii="Times New Roman;Times;serif" w:hAnsi="Times New Roman;Times;serif"/>
          <w:b/>
          <w:sz w:val="20"/>
        </w:rPr>
        <w:t>ITEM 8. FINANCIAL STATEMENTS AND SUPPLEMENTARY DATA</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72" w:name="REPORT_1"/>
      <w:bookmarkStart w:id="73" w:name="_bff8b074_9250_4191_b387_e2404cff1295"/>
      <w:bookmarkEnd w:id="72"/>
      <w:bookmarkEnd w:id="73"/>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Valmont Industries,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Valmont Industries, Inc. and subsidiaries (the “Company”) as of December 27, 2025 and December 28, 2024, the related consolidated statements of earnings, comprehensive income, shareholders’ equity and redeemable noncontrolling interests, and cash flows, for each of the three years in the period ended December 27, 2025, and the related notes (collectively referred to as the “financial statements”). In our opinion, the financial statements present fairly, in all material respects, the financial position of the Company as of December 27, 2025 and December 28, 2024, and the results of its operations and its cash flows for each of the three years in the period ended December 27, 2025,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Company’s internal control over financial reporting as of December 27,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and our report dated February 23, 2026, expressed an unqualified opinion on the Company’s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 — Refer to Notes 1 and 7 to the consolidated financial statements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 Description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goodwill which is allocated among eleven reporting units. The Company evaluates its eleven reporting units with recorded goodwill for goodwill impairment during the third fiscal quarter of each year, or when events or changes in circumstances indicate the carrying value may not be recoverable, such as the triggering events identified for Access Systems and Solar reporting units in the second quarter of 2025. Reporting units are evaluated using projected after-tax cash flows from operations, net of capital expenditures, discounted to their present value. This valuation method requires management to make significant estimates and assumptions related to projected cash flows and discount rates.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identified the goodwill impairment assessment at the Access Systems, Solar, and APAC Highway Safety reporting units as a critical audit matter because of the significant estimates and assumptions made by management to estimate fair value and the difference between the fair values and the carrying values of the Access Systems and Solar reporting units as of June 28, 2025 and the Access Systems and APAC Highway Safety reporting units as of August 30, 2025. This required a high degree of auditor judgment and an increased extent of effort, including the need to involve our fair value specialists, when performing audit procedures to evaluate the reasonableness of management’s estimates and assumptions related to the projected cash flows and discount rates for these three reporting units.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the Critical Audit Matter Was Addressed in the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 procedures related to the goodwill impairment assessment for Access Systems, Solar, and APAC Highway Safety reporting units included the following,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effectiveness of internal controls over management’s goodwill impairment evaluation, including those over the projected cash flows and discount rates.</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identification and timing of triggering events identified by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ability to accurately forecast cash flows by comparing actual results to management’s historical forecasts.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reasonableness of management’s projected cash flows by comparing to historical results and, for APAC Highway Safety, we also compared to peers and industry reports.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fair value specialists, we evaluated the discount rates including testing the underlying source information and the mathematical accuracy of the calculations. In addition, we developed a range of independent estimates and compared those to the discount rates selected by management.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Omaha, Nebraska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23,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1996.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bookmarkStart w:id="74" w:name="_94ac97b1_ea21_407b_b5ec_ee2dcb6d2d96"/>
      <w:bookmarkEnd w:id="74"/>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bookmarkStart w:id="75" w:name="CONSOLIDATEDSTATEMENTSOFEARNINGS_504822"/>
      <w:bookmarkEnd w:id="75"/>
      <w:r>
        <w:rPr>
          <w:rFonts w:ascii="Times New Roman;Times;serif" w:hAnsi="Times New Roman;Times;serif"/>
          <w:b/>
          <w:sz w:val="20"/>
        </w:rPr>
        <w:t>CONSOLIDATED STATEMENTS OF EARNINGS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76" w:name="Tc_yQTEubdt9EmiuLk-pQGiDA_34_8"/>
      <w:bookmarkStart w:id="77" w:name="Tc_0cGcRXpaTUy7blvNRnPkFw_34_5"/>
      <w:bookmarkStart w:id="78" w:name="Tc_Dqk4jdJOP0Ovg8WGgHfpkQ_34_2"/>
      <w:bookmarkStart w:id="79" w:name="Tc_50pMbysRE0SjEQ3i5lmQvQ_34_0"/>
      <w:bookmarkStart w:id="80" w:name="Tc_GjZQcnk3SkyW0egB5umD1Q_33_8"/>
      <w:bookmarkStart w:id="81" w:name="Tc_HjDyTe8eGE-6FS3awRnsZg_33_5"/>
      <w:bookmarkStart w:id="82" w:name="Tc_O2EcBCsUEEqgNCtS6ICFow_33_2"/>
      <w:bookmarkStart w:id="83" w:name="Tc_rvYAN3XJdk-0RRVsbJTMuw_33_0"/>
      <w:bookmarkStart w:id="84" w:name="Tc_9GUDssu970yYS4l_ca5qjw_32_0"/>
      <w:bookmarkStart w:id="85" w:name="Tc_WPOQ9_wPvEeVx06FOXg4-g_31_8"/>
      <w:bookmarkStart w:id="86" w:name="Tc_C1eV-_M-bkmfA3g0QZbW1g_31_5"/>
      <w:bookmarkStart w:id="87" w:name="Tc_jwWlriykDkuSwELNlTIoLg_31_2"/>
      <w:bookmarkStart w:id="88" w:name="Tc_rVhT0S61TUuPnkw4zGeSFQ_31_0"/>
      <w:bookmarkStart w:id="89" w:name="Tc_2oDCyCY_s0qai4iY-vZ4TQ_30_0"/>
      <w:bookmarkStart w:id="90" w:name="Tc_Why0Sf4Sp0KBF_pR8yie2g_29_0"/>
      <w:bookmarkStart w:id="91" w:name="Tc_ScWeJlRaN0GfS9AizOi-vA_28_0"/>
      <w:bookmarkStart w:id="92" w:name="Tc_H2hdm6FBVE2KO9C-uPLPSw_27_0"/>
      <w:bookmarkStart w:id="93" w:name="Tc_fTM-qh9ExUuNiZ6zP81ycg_26_0"/>
      <w:bookmarkStart w:id="94" w:name="Tc_UYOCaUntAUOk0_-ypDwz8Q_25_0"/>
      <w:bookmarkStart w:id="95" w:name="Tc_-VVJ9WZJPkeum7zaMSVP4w_24_0"/>
      <w:bookmarkStart w:id="96" w:name="Tc_qYht8bZ6skOTUWKGbn7aPw_23_0"/>
      <w:bookmarkStart w:id="97" w:name="Tc_KP7lq5QW7EirXBZyceqTFw_22_0"/>
      <w:bookmarkStart w:id="98" w:name="Tc_Ag4KhU8dUUSE-QcpcpXYgA_21_0"/>
      <w:bookmarkStart w:id="99" w:name="Tc_WfA4FdWzLUWqGmKqXjODzQ_20_0"/>
      <w:bookmarkStart w:id="100" w:name="Tc_pxW0h8XV80KISXFDvNQRDA_19_3"/>
      <w:bookmarkStart w:id="101" w:name="Tc_TbL-rbHKlEmf6xRdYo4dUw_19_0"/>
      <w:bookmarkStart w:id="102" w:name="Tc_zbgkgSL7IUG4TVViMwH-tg_18_0"/>
      <w:bookmarkStart w:id="103" w:name="Tc_GaSD9EeNakGV8r4HEVQynA_17_0"/>
      <w:bookmarkStart w:id="104" w:name="Tc_8pldEh06yEG3YX-66SuiwA_16_0"/>
      <w:bookmarkStart w:id="105" w:name="Tc_MqXl-V2B5ECkDRpRfgkV9g_15_0"/>
      <w:bookmarkStart w:id="106" w:name="Tc_3blUrEUTJUquA4TZGzAF2g_14_0"/>
      <w:bookmarkStart w:id="107" w:name="Tc_lg45BM0sSE2kcMRGJUoC2g_13_6"/>
      <w:bookmarkStart w:id="108" w:name="Tc_ZxflUDIVUUOCNm07d7Tu3Q_13_0"/>
      <w:bookmarkStart w:id="109" w:name="Tc_Rqj5VtJ2E0S0brtReAvaNQ_12_6"/>
      <w:bookmarkStart w:id="110" w:name="Tc_qA529JQOgEa7reOxrHTM3Q_12_0"/>
      <w:bookmarkStart w:id="111" w:name="Tc_ngPpfseCXUu_FUkMFeh5Zw_11_0"/>
      <w:bookmarkStart w:id="112" w:name="Tc_OAFfZfksTkudE986LKyTtA_10_0"/>
      <w:bookmarkStart w:id="113" w:name="Tc_NLpcXqQjpk-Ddq34Ba_rRg_9_0"/>
      <w:bookmarkStart w:id="114" w:name="Tc_FS7DYH_FUESn2VsDD0-DcA_8_0"/>
      <w:bookmarkStart w:id="115" w:name="Tc__ZA5IiXIeki9HOqmVXkdug_7_0"/>
      <w:bookmarkStart w:id="116" w:name="Tc_Hv5F3pSf9EifYKXXK42caQ_6_0"/>
      <w:bookmarkStart w:id="117" w:name="Tc_IUiPlgRpkkSwqdhv4ToWjA_5_0"/>
      <w:bookmarkStart w:id="118" w:name="Tc_DUH_YG2UfE2lQfqaP3iFRg_4_8"/>
      <w:bookmarkStart w:id="119" w:name="Tc_K6Uh-UQOUkS5wk4jyWg3fw_4_5"/>
      <w:bookmarkStart w:id="120" w:name="Tc_ltQLxlrCgkKfdyhBPqPdJA_4_2"/>
      <w:bookmarkStart w:id="121" w:name="Tc_U9bmX_t48kejHPEkIDMu4g_4_0"/>
      <w:bookmarkStart w:id="122" w:name="Tc_tfd_gtPJPkGeulLxJgckbw_3_8"/>
      <w:bookmarkStart w:id="123" w:name="Tc_p0tRjZ6bGkuqfn_Uik782g_3_5"/>
      <w:bookmarkStart w:id="124" w:name="Tc_W8Drw9wEpUGG6XpZEoJyAg_3_2"/>
      <w:bookmarkStart w:id="125" w:name="Tc_ZcMASUsRf02TdxhgaLJfCg_2_8"/>
      <w:bookmarkStart w:id="126" w:name="Tc_lCmpfCRTG0CURqEloJlDpQ_2_5"/>
      <w:bookmarkStart w:id="127" w:name="Tc_AKD6nZi2qkWsTlG8VVcHMA_2_2"/>
      <w:bookmarkStart w:id="128" w:name="Tc_5vcC-0M02UqO98zroz74yQ_1_2"/>
      <w:bookmarkStart w:id="129" w:name="_c0f30e83_d4ae_419b_b802_5fa083d25e68"/>
      <w:bookmarkStart w:id="130" w:name="Tc_yQTEubdt9EmiuLk-pQGiDA_34_8"/>
      <w:bookmarkStart w:id="131" w:name="Tc_0cGcRXpaTUy7blvNRnPkFw_34_5"/>
      <w:bookmarkStart w:id="132" w:name="Tc_Dqk4jdJOP0Ovg8WGgHfpkQ_34_2"/>
      <w:bookmarkStart w:id="133" w:name="Tc_50pMbysRE0SjEQ3i5lmQvQ_34_0"/>
      <w:bookmarkStart w:id="134" w:name="Tc_GjZQcnk3SkyW0egB5umD1Q_33_8"/>
      <w:bookmarkStart w:id="135" w:name="Tc_HjDyTe8eGE-6FS3awRnsZg_33_5"/>
      <w:bookmarkStart w:id="136" w:name="Tc_O2EcBCsUEEqgNCtS6ICFow_33_2"/>
      <w:bookmarkStart w:id="137" w:name="Tc_rvYAN3XJdk-0RRVsbJTMuw_33_0"/>
      <w:bookmarkStart w:id="138" w:name="Tc_9GUDssu970yYS4l_ca5qjw_32_0"/>
      <w:bookmarkStart w:id="139" w:name="Tc_WPOQ9_wPvEeVx06FOXg4-g_31_8"/>
      <w:bookmarkStart w:id="140" w:name="Tc_C1eV-_M-bkmfA3g0QZbW1g_31_5"/>
      <w:bookmarkStart w:id="141" w:name="Tc_jwWlriykDkuSwELNlTIoLg_31_2"/>
      <w:bookmarkStart w:id="142" w:name="Tc_rVhT0S61TUuPnkw4zGeSFQ_31_0"/>
      <w:bookmarkStart w:id="143" w:name="Tc_2oDCyCY_s0qai4iY-vZ4TQ_30_0"/>
      <w:bookmarkStart w:id="144" w:name="Tc_Why0Sf4Sp0KBF_pR8yie2g_29_0"/>
      <w:bookmarkStart w:id="145" w:name="Tc_ScWeJlRaN0GfS9AizOi-vA_28_0"/>
      <w:bookmarkStart w:id="146" w:name="Tc_H2hdm6FBVE2KO9C-uPLPSw_27_0"/>
      <w:bookmarkStart w:id="147" w:name="Tc_fTM-qh9ExUuNiZ6zP81ycg_26_0"/>
      <w:bookmarkStart w:id="148" w:name="Tc_UYOCaUntAUOk0_-ypDwz8Q_25_0"/>
      <w:bookmarkStart w:id="149" w:name="Tc_-VVJ9WZJPkeum7zaMSVP4w_24_0"/>
      <w:bookmarkStart w:id="150" w:name="Tc_qYht8bZ6skOTUWKGbn7aPw_23_0"/>
      <w:bookmarkStart w:id="151" w:name="Tc_KP7lq5QW7EirXBZyceqTFw_22_0"/>
      <w:bookmarkStart w:id="152" w:name="Tc_Ag4KhU8dUUSE-QcpcpXYgA_21_0"/>
      <w:bookmarkStart w:id="153" w:name="Tc_WfA4FdWzLUWqGmKqXjODzQ_20_0"/>
      <w:bookmarkStart w:id="154" w:name="Tc_pxW0h8XV80KISXFDvNQRDA_19_3"/>
      <w:bookmarkStart w:id="155" w:name="Tc_TbL-rbHKlEmf6xRdYo4dUw_19_0"/>
      <w:bookmarkStart w:id="156" w:name="Tc_zbgkgSL7IUG4TVViMwH-tg_18_0"/>
      <w:bookmarkStart w:id="157" w:name="Tc_GaSD9EeNakGV8r4HEVQynA_17_0"/>
      <w:bookmarkStart w:id="158" w:name="Tc_8pldEh06yEG3YX-66SuiwA_16_0"/>
      <w:bookmarkStart w:id="159" w:name="Tc_MqXl-V2B5ECkDRpRfgkV9g_15_0"/>
      <w:bookmarkStart w:id="160" w:name="Tc_3blUrEUTJUquA4TZGzAF2g_14_0"/>
      <w:bookmarkStart w:id="161" w:name="Tc_lg45BM0sSE2kcMRGJUoC2g_13_6"/>
      <w:bookmarkStart w:id="162" w:name="Tc_ZxflUDIVUUOCNm07d7Tu3Q_13_0"/>
      <w:bookmarkStart w:id="163" w:name="Tc_Rqj5VtJ2E0S0brtReAvaNQ_12_6"/>
      <w:bookmarkStart w:id="164" w:name="Tc_qA529JQOgEa7reOxrHTM3Q_12_0"/>
      <w:bookmarkStart w:id="165" w:name="Tc_ngPpfseCXUu_FUkMFeh5Zw_11_0"/>
      <w:bookmarkStart w:id="166" w:name="Tc_OAFfZfksTkudE986LKyTtA_10_0"/>
      <w:bookmarkStart w:id="167" w:name="Tc_NLpcXqQjpk-Ddq34Ba_rRg_9_0"/>
      <w:bookmarkStart w:id="168" w:name="Tc_FS7DYH_FUESn2VsDD0-DcA_8_0"/>
      <w:bookmarkStart w:id="169" w:name="Tc__ZA5IiXIeki9HOqmVXkdug_7_0"/>
      <w:bookmarkStart w:id="170" w:name="Tc_Hv5F3pSf9EifYKXXK42caQ_6_0"/>
      <w:bookmarkStart w:id="171" w:name="Tc_IUiPlgRpkkSwqdhv4ToWjA_5_0"/>
      <w:bookmarkStart w:id="172" w:name="Tc_DUH_YG2UfE2lQfqaP3iFRg_4_8"/>
      <w:bookmarkStart w:id="173" w:name="Tc_K6Uh-UQOUkS5wk4jyWg3fw_4_5"/>
      <w:bookmarkStart w:id="174" w:name="Tc_ltQLxlrCgkKfdyhBPqPdJA_4_2"/>
      <w:bookmarkStart w:id="175" w:name="Tc_U9bmX_t48kejHPEkIDMu4g_4_0"/>
      <w:bookmarkStart w:id="176" w:name="Tc_tfd_gtPJPkGeulLxJgckbw_3_8"/>
      <w:bookmarkStart w:id="177" w:name="Tc_p0tRjZ6bGkuqfn_Uik782g_3_5"/>
      <w:bookmarkStart w:id="178" w:name="Tc_W8Drw9wEpUGG6XpZEoJyAg_3_2"/>
      <w:bookmarkStart w:id="179" w:name="Tc_ZcMASUsRf02TdxhgaLJfCg_2_8"/>
      <w:bookmarkStart w:id="180" w:name="Tc_lCmpfCRTG0CURqEloJlDpQ_2_5"/>
      <w:bookmarkStart w:id="181" w:name="Tc_AKD6nZi2qkWsTlG8VVcHMA_2_2"/>
      <w:bookmarkStart w:id="182" w:name="Tc_5vcC-0M02UqO98zroz74yQ_1_2"/>
      <w:bookmarkStart w:id="183" w:name="_c0f30e83_d4ae_419b_b802_5fa083d25e6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tbl>
      <w:tblPr>
        <w:tblW w:w="9052" w:type="dxa"/>
        <w:jc w:val="left"/>
        <w:tblInd w:w="0" w:type="dxa"/>
        <w:tblLayout w:type="fixed"/>
        <w:tblCellMar>
          <w:top w:w="0" w:type="dxa"/>
          <w:left w:w="0" w:type="dxa"/>
          <w:bottom w:w="0" w:type="dxa"/>
          <w:right w:w="0" w:type="dxa"/>
        </w:tblCellMar>
      </w:tblPr>
      <w:tblGrid>
        <w:gridCol w:w="4786"/>
        <w:gridCol w:w="109"/>
        <w:gridCol w:w="218"/>
        <w:gridCol w:w="922"/>
        <w:gridCol w:w="346"/>
        <w:gridCol w:w="218"/>
        <w:gridCol w:w="922"/>
        <w:gridCol w:w="346"/>
        <w:gridCol w:w="217"/>
        <w:gridCol w:w="968"/>
      </w:tblGrid>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41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4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3,670,596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3,660,779</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3,772,835</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433,506</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414,255</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401,763</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4,104,102</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4,075,034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4,174,598</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2,610,771</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2,580,083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2,672,740</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cost of sales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253,395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253,739</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265,824</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2,864,166</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2,833,822</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2,938,564</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1,239,936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1,241,212</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1,236,034</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717,633</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716,628</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768,423</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140,844</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15,390</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35,210</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415,576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524,584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291,557</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(40,542)</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(58,722)</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(56,808)</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8,189</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6,230</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deferred compensation investments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3,587</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3,564</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(loss) on divestitures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(4,474)</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2,994</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(9,168)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(11,085)</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(37,934)</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(55,903)</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(55,105)</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income taxes and equity method investment loss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377,642</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468,681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236,452</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pPr>
            <w:r>
              <w:rPr/>
              <w:t>  ​</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43,060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142,633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108,770</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(19,196)</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(24,655)</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(18,649)</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income tax expense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23,864</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117,978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90,121</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353,778</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350,703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146,331</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353,688</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350,624</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144,912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(earnings) attributable to redeemable noncontrolling interests</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5,937</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350,273</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348,259</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150,849</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 per share:</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16.91</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17.31</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0"/>
              <w:ind w:left="0" w:right="0" w:hanging="0"/>
              <w:jc w:val="left"/>
              <w:rPr>
                <w:color w:val="FFFFFF"/>
              </w:rPr>
            </w:pPr>
            <w:r>
              <w:rPr>
                <w:color w:val="FFFFFF"/>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6.78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bookmarkStart w:id="184" w:name="_0612900c_5f5f_4835_875d_d7cd484c5005"/>
      <w:bookmarkEnd w:id="184"/>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bookmarkStart w:id="185" w:name="CONSOLIDATEDSTATEMENTSOFCOMPREHENSIVEINC"/>
      <w:bookmarkEnd w:id="185"/>
      <w:r>
        <w:rPr>
          <w:rFonts w:ascii="Times New Roman;Times;serif" w:hAnsi="Times New Roman;Times;serif"/>
          <w:b/>
          <w:sz w:val="20"/>
        </w:rPr>
        <w:t>CONSOLIDATED STATEMENTS OF COMPREHENSIVE INCOME</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186" w:name="Tc_tdnNQgdyDU29NAedaCuc7w_18_8"/>
      <w:bookmarkStart w:id="187" w:name="Tc__SO-kV8y8067c_H8GXwjbQ_18_5"/>
      <w:bookmarkStart w:id="188" w:name="Tc_nVGegYurBkW8BBdavIK3cg_18_2"/>
      <w:bookmarkStart w:id="189" w:name="Tc_DIzH-TIYUUOdzUJocgNfFA_18_0"/>
      <w:bookmarkStart w:id="190" w:name="Tc_U5SUS7iGHEq3F4I2nKAcPA_17_0"/>
      <w:bookmarkStart w:id="191" w:name="Tc_LW1SWWAvi0aCWDgGnU5ojg_16_0"/>
      <w:bookmarkStart w:id="192" w:name="Tc_bBUoFysw-UyCEAD_FLiPYw_15_0"/>
      <w:bookmarkStart w:id="193" w:name="Tc_c8wv7qcsNEmvFr5jOsKUZg_14_0"/>
      <w:bookmarkStart w:id="194" w:name="Tc_gFvXpUJQLUq8wx-b7RXqAw_13_0"/>
      <w:bookmarkStart w:id="195" w:name="Tc_mcC6JIh6WkGVA1ohuaJq_Q_12_0"/>
      <w:bookmarkStart w:id="196" w:name="Tc_DurTTXaijkiY2X9cwUAfvQ_11_0"/>
      <w:bookmarkStart w:id="197" w:name="Tc_aZWSsnA1Bk-GvfbcRn3yOA_10_0"/>
      <w:bookmarkStart w:id="198" w:name="Tc_MoPsYefalE2qDx4oE68X3A_9_0"/>
      <w:bookmarkStart w:id="199" w:name="Tc_3gX-HI75VUiumqc56Vgx6g_8_0"/>
      <w:bookmarkStart w:id="200" w:name="Tc_Ua9dScmCikqEjoLsfrG4Zw_7_0"/>
      <w:bookmarkStart w:id="201" w:name="Tc_iWei2qF3GUOURKltCbt9TQ_6_0"/>
      <w:bookmarkStart w:id="202" w:name="Tc_1nXVav-IdEmEVFmW0_vinA_5_0"/>
      <w:bookmarkStart w:id="203" w:name="Tc_qMWH4pPnDUS4tPfxVP3WAg_4_8"/>
      <w:bookmarkStart w:id="204" w:name="Tc_IpEpd9--2U2-0R5tbcjb5g_4_5"/>
      <w:bookmarkStart w:id="205" w:name="Tc_DmgKXL7Irkqo4O7ymN3WJA_4_2"/>
      <w:bookmarkStart w:id="206" w:name="Tc_UeQJLiMiNU-1ZIisTQGuxg_4_0"/>
      <w:bookmarkStart w:id="207" w:name="Tc_uVjkDxhoU0ODZK8ho1bnkA_3_8"/>
      <w:bookmarkStart w:id="208" w:name="Tc_qx11wyUPH0aS5bR6XbWOuQ_3_5"/>
      <w:bookmarkStart w:id="209" w:name="Tc_gaDeo9CsBEioi7H0NOD1Zw_3_2"/>
      <w:bookmarkStart w:id="210" w:name="Tc_4dYJmt311EOKEhpPRf00vQ_2_8"/>
      <w:bookmarkStart w:id="211" w:name="Tc_HmuqIHw3FEGREeh0JM_i7A_2_5"/>
      <w:bookmarkStart w:id="212" w:name="Tc__1mwM3rrSEaQz42-9fJ2Qw_2_2"/>
      <w:bookmarkStart w:id="213" w:name="Tc_hX7IgfMU0EWJ9NvLMamOag_1_2"/>
      <w:bookmarkStart w:id="214" w:name="_f0daa062_c5ed_4f5c_934a_4e01fc9a31a5"/>
      <w:bookmarkStart w:id="215" w:name="Tc_tdnNQgdyDU29NAedaCuc7w_18_8"/>
      <w:bookmarkStart w:id="216" w:name="Tc__SO-kV8y8067c_H8GXwjbQ_18_5"/>
      <w:bookmarkStart w:id="217" w:name="Tc_nVGegYurBkW8BBdavIK3cg_18_2"/>
      <w:bookmarkStart w:id="218" w:name="Tc_DIzH-TIYUUOdzUJocgNfFA_18_0"/>
      <w:bookmarkStart w:id="219" w:name="Tc_U5SUS7iGHEq3F4I2nKAcPA_17_0"/>
      <w:bookmarkStart w:id="220" w:name="Tc_LW1SWWAvi0aCWDgGnU5ojg_16_0"/>
      <w:bookmarkStart w:id="221" w:name="Tc_bBUoFysw-UyCEAD_FLiPYw_15_0"/>
      <w:bookmarkStart w:id="222" w:name="Tc_c8wv7qcsNEmvFr5jOsKUZg_14_0"/>
      <w:bookmarkStart w:id="223" w:name="Tc_gFvXpUJQLUq8wx-b7RXqAw_13_0"/>
      <w:bookmarkStart w:id="224" w:name="Tc_mcC6JIh6WkGVA1ohuaJq_Q_12_0"/>
      <w:bookmarkStart w:id="225" w:name="Tc_DurTTXaijkiY2X9cwUAfvQ_11_0"/>
      <w:bookmarkStart w:id="226" w:name="Tc_aZWSsnA1Bk-GvfbcRn3yOA_10_0"/>
      <w:bookmarkStart w:id="227" w:name="Tc_MoPsYefalE2qDx4oE68X3A_9_0"/>
      <w:bookmarkStart w:id="228" w:name="Tc_3gX-HI75VUiumqc56Vgx6g_8_0"/>
      <w:bookmarkStart w:id="229" w:name="Tc_Ua9dScmCikqEjoLsfrG4Zw_7_0"/>
      <w:bookmarkStart w:id="230" w:name="Tc_iWei2qF3GUOURKltCbt9TQ_6_0"/>
      <w:bookmarkStart w:id="231" w:name="Tc_1nXVav-IdEmEVFmW0_vinA_5_0"/>
      <w:bookmarkStart w:id="232" w:name="Tc_qMWH4pPnDUS4tPfxVP3WAg_4_8"/>
      <w:bookmarkStart w:id="233" w:name="Tc_IpEpd9--2U2-0R5tbcjb5g_4_5"/>
      <w:bookmarkStart w:id="234" w:name="Tc_DmgKXL7Irkqo4O7ymN3WJA_4_2"/>
      <w:bookmarkStart w:id="235" w:name="Tc_UeQJLiMiNU-1ZIisTQGuxg_4_0"/>
      <w:bookmarkStart w:id="236" w:name="Tc_uVjkDxhoU0ODZK8ho1bnkA_3_8"/>
      <w:bookmarkStart w:id="237" w:name="Tc_qx11wyUPH0aS5bR6XbWOuQ_3_5"/>
      <w:bookmarkStart w:id="238" w:name="Tc_gaDeo9CsBEioi7H0NOD1Zw_3_2"/>
      <w:bookmarkStart w:id="239" w:name="Tc_4dYJmt311EOKEhpPRf00vQ_2_8"/>
      <w:bookmarkStart w:id="240" w:name="Tc_HmuqIHw3FEGREeh0JM_i7A_2_5"/>
      <w:bookmarkStart w:id="241" w:name="Tc__1mwM3rrSEaQz42-9fJ2Qw_2_2"/>
      <w:bookmarkStart w:id="242" w:name="Tc_hX7IgfMU0EWJ9NvLMamOag_1_2"/>
      <w:bookmarkStart w:id="243" w:name="_f0daa062_c5ed_4f5c_934a_4e01fc9a31a5"/>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057" w:type="dxa"/>
        <w:jc w:val="left"/>
        <w:tblInd w:w="0" w:type="dxa"/>
        <w:tblLayout w:type="fixed"/>
        <w:tblCellMar>
          <w:top w:w="0" w:type="dxa"/>
          <w:left w:w="0" w:type="dxa"/>
          <w:bottom w:w="0" w:type="dxa"/>
          <w:right w:w="0" w:type="dxa"/>
        </w:tblCellMar>
      </w:tblPr>
      <w:tblGrid>
        <w:gridCol w:w="5791"/>
        <w:gridCol w:w="109"/>
        <w:gridCol w:w="252"/>
        <w:gridCol w:w="888"/>
        <w:gridCol w:w="346"/>
        <w:gridCol w:w="243"/>
        <w:gridCol w:w="897"/>
        <w:gridCol w:w="346"/>
        <w:gridCol w:w="234"/>
        <w:gridCol w:w="951"/>
      </w:tblGrid>
      <w:tr>
        <w:trPr/>
        <w:tc>
          <w:tcPr>
            <w:tcW w:w="5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5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5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353,688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350,624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144,912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pPr>
            <w:r>
              <w:rPr/>
              <w:t>  ​</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pPr>
            <w:r>
              <w:rPr/>
              <w:t>  ​</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translation gain (loss)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58,275</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(70,145)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25,261</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Hedging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commodity hedges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(3,321)</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Realized loss (gain) on commodity hedges included in net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cross currency swaps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(6,970)</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cost included in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hedging activities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(5,945)</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defined benefit pension plan</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(9,213)</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(23,326)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43,117</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(60,215)</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396,805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290,409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147,737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loss (income) attributable to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(4,272)</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(1,689)</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attributable to Valmont Industries, Inc.</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392,533</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288,720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152,522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bookmarkStart w:id="244" w:name="_afad115c_b955_4aa0_b4ef_906a8cdcfe85"/>
      <w:bookmarkEnd w:id="244"/>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bookmarkStart w:id="245" w:name="CONSOLIDATEDBALANCESHEETS_363649"/>
      <w:bookmarkEnd w:id="245"/>
      <w:r>
        <w:rPr>
          <w:rFonts w:ascii="Times New Roman;Times;serif" w:hAnsi="Times New Roman;Times;serif"/>
          <w:b/>
          <w:sz w:val="20"/>
        </w:rPr>
        <w:t>CONSOLIDATED BALANCE SHEETS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par value)</w:t>
      </w:r>
    </w:p>
    <w:p>
      <w:pPr>
        <w:pStyle w:val="Normal"/>
        <w:bidi w:val="0"/>
        <w:spacing w:before="0" w:after="0"/>
        <w:jc w:val="left"/>
        <w:rPr>
          <w:sz w:val="4"/>
          <w:szCs w:val="4"/>
        </w:rPr>
      </w:pPr>
      <w:r>
        <w:rPr>
          <w:sz w:val="4"/>
          <w:szCs w:val="4"/>
        </w:rPr>
      </w:r>
      <w:bookmarkStart w:id="246" w:name="Tc_3Fwp8vDFCk-1zqU293YEKQ_49_5"/>
      <w:bookmarkStart w:id="247" w:name="Tc_kuLjlV1SVUCm0sBnoFWfyw_49_2"/>
      <w:bookmarkStart w:id="248" w:name="Tc_hxfuGeUXFUWvkIwzAiDPBg_49_0"/>
      <w:bookmarkStart w:id="249" w:name="Tc_peQju-pkX0SmHCbqdxMmgg_48_0"/>
      <w:bookmarkStart w:id="250" w:name="Tc_RdodQW4rLkWk2DUa4kiM0A_47_0"/>
      <w:bookmarkStart w:id="251" w:name="Tc_YAY1RBA9lUGQciplcFvqMw_46_0"/>
      <w:bookmarkStart w:id="252" w:name="Tc_Mp6lvk9Z7E6ve3a8pbElfg_45_0"/>
      <w:bookmarkStart w:id="253" w:name="Tc_JPZqu_UI9k2hSNKlOzEVqg_44_0"/>
      <w:bookmarkStart w:id="254" w:name="Tc_8OXvqqiMaEmy2cEJfnVJsw_43_0"/>
      <w:bookmarkStart w:id="255" w:name="Tc_7C1EDspOzUm-wXENTx7zSA_42_0"/>
      <w:bookmarkStart w:id="256" w:name="Tc_0cGuelmJvE-zHBL_SQ0bKg_41_0"/>
      <w:bookmarkStart w:id="257" w:name="Tc_gd6nvCLGB0umnVqHxV41OA_40_0"/>
      <w:bookmarkStart w:id="258" w:name="Tc_iwXmt-Opf0CibIaBsXloSA_39_0"/>
      <w:bookmarkStart w:id="259" w:name="Tc_UpQp5NbEXEik9_WloP6GhA_38_0"/>
      <w:bookmarkStart w:id="260" w:name="Tc_dWbQpZ8qYUWGFGtN6XUSXA_37_0"/>
      <w:bookmarkStart w:id="261" w:name="Tc_aZ3F6O5DwEyJNVdtiO-aUw_36_0"/>
      <w:bookmarkStart w:id="262" w:name="Tc_mqf5H1quXEu9RNsknraOnQ_35_0"/>
      <w:bookmarkStart w:id="263" w:name="Tc_HG0qvFhLjEiJuLMr--9S0A_34_0"/>
      <w:bookmarkStart w:id="264" w:name="Tc_0G-qEHUUEE2swCKOwF2Gbg_33_0"/>
      <w:bookmarkStart w:id="265" w:name="Tc_F__ediEqsUOqFLWax7dUwA_32_0"/>
      <w:bookmarkStart w:id="266" w:name="Tc_67lQBG4UOUGltC5-gp2iFA_31_0"/>
      <w:bookmarkStart w:id="267" w:name="Tc_bbt3oZLURECrtFBQ0aP5GA_30_0"/>
      <w:bookmarkStart w:id="268" w:name="Tc_OVziwq-cwEOZeiCNTFpC9Q_29_0"/>
      <w:bookmarkStart w:id="269" w:name="Tc_I8k4TTOQy0uex4XyKf40YQ_28_6"/>
      <w:bookmarkStart w:id="270" w:name="Tc_Nv4FdS4PvkCfBrzo0BHPnw_28_0"/>
      <w:bookmarkStart w:id="271" w:name="Tc_8ZPH0OVuLEieRHNAprqCxg_27_3"/>
      <w:bookmarkStart w:id="272" w:name="Tc_IIh7qYjwckagYSCDMvP5AQ_27_0"/>
      <w:bookmarkStart w:id="273" w:name="Tc_7TJKNM6FLEKIqaWSL89qqg_26_5"/>
      <w:bookmarkStart w:id="274" w:name="Tc_wu4wA6J2mkKZkd7lbS6U-w_26_2"/>
      <w:bookmarkStart w:id="275" w:name="Tc_fdP0UY-n3kST0h8zRU0Igw_26_0"/>
      <w:bookmarkStart w:id="276" w:name="Tc_fULILiZV2kOBURSsn7_nvQ_25_0"/>
      <w:bookmarkStart w:id="277" w:name="Tc_Nzl6bS5g_kqMnd4mTeEsyg_24_0"/>
      <w:bookmarkStart w:id="278" w:name="Tc_692NCaRpCUW3tCYKE1cC8A_22_5"/>
      <w:bookmarkStart w:id="279" w:name="Tc_nXcaXsh6h0WhJfqY9eZ7DQ_22_2"/>
      <w:bookmarkStart w:id="280" w:name="Tc_Z4HrtpQdTEqrobm6OazRcQ_22_0"/>
      <w:bookmarkStart w:id="281" w:name="Tc_VSt9xxjiEEOSBu4etDh8gw_21_0"/>
      <w:bookmarkStart w:id="282" w:name="Tc_wjqIffBB60-gfAZJilwnxg_20_0"/>
      <w:bookmarkStart w:id="283" w:name="Tc_0j--kIqjgE-K_ApziizgjQ_19_0"/>
      <w:bookmarkStart w:id="284" w:name="Tc_ndtLpdHmqkakNayDo5JMzg_18_0"/>
      <w:bookmarkStart w:id="285" w:name="Tc_iE_MkfuxdUGnEUanKPWTDA_17_0"/>
      <w:bookmarkStart w:id="286" w:name="Tc_YaSTTijbNUWDLdeVkTIq_Q_16_0"/>
      <w:bookmarkStart w:id="287" w:name="Tc_tK9ywbjyHkuDomOw5YLmUw_15_0"/>
      <w:bookmarkStart w:id="288" w:name="Tc_N_-kxaw5RUyOUZuhhCR-NA_14_0"/>
      <w:bookmarkStart w:id="289" w:name="Tc__boFufTH5UOgbX3RWAYrWw_13_0"/>
      <w:bookmarkStart w:id="290" w:name="Tc_YW9CrkzimEiTTEW0Sy4BXA_12_0"/>
      <w:bookmarkStart w:id="291" w:name="Tc_Xhzff6VfJ0eUhk_Dmfot5A_11_0"/>
      <w:bookmarkStart w:id="292" w:name="Tc_PtZLTU_aJUOK9uBrRWpBhQ_10_0"/>
      <w:bookmarkStart w:id="293" w:name="Tc_oiboj_-vY0myIx6AGZNCMw_9_0"/>
      <w:bookmarkStart w:id="294" w:name="Tc_S-9g3cSLWkaN3kRuQMOetw_8_0"/>
      <w:bookmarkStart w:id="295" w:name="Tc_vKIVraCkaUqFTUSDuzJV_w_7_0"/>
      <w:bookmarkStart w:id="296" w:name="Tc_4gaR_DDg50OIHWQlESZTjw_6_0"/>
      <w:bookmarkStart w:id="297" w:name="Tc_axyReCd630yUKeQ2R8lc5A_5_5"/>
      <w:bookmarkStart w:id="298" w:name="Tc_WbVwVsHB0EC05hwRvpbbHg_5_2"/>
      <w:bookmarkStart w:id="299" w:name="Tc_ZjB6NiWsLEO3gk_g9ww92w_5_0"/>
      <w:bookmarkStart w:id="300" w:name="Tc_hU_ImRURikeUXrLtt73WZg_4_0"/>
      <w:bookmarkStart w:id="301" w:name="Tc_COzlfueCekygdD7dCgiuUQ_3_0"/>
      <w:bookmarkStart w:id="302" w:name="Tc_XkBnmXwJa0ecdHhIaPV2-Q_2_5"/>
      <w:bookmarkStart w:id="303" w:name="Tc_n2fyn5lypEmLIBdys9Okyg_2_2"/>
      <w:bookmarkStart w:id="304" w:name="Tc_IVPgqlvgEUO_NCpgOtVjRQ_1_5"/>
      <w:bookmarkStart w:id="305" w:name="Tc_Pvc8HoRnzkWIDhUdzcyN_A_1_2"/>
      <w:bookmarkStart w:id="306" w:name="_90491947_3583_4ca1_bd2c_1dd8d9e5e423"/>
      <w:bookmarkStart w:id="307" w:name="Tc_3Fwp8vDFCk-1zqU293YEKQ_49_5"/>
      <w:bookmarkStart w:id="308" w:name="Tc_kuLjlV1SVUCm0sBnoFWfyw_49_2"/>
      <w:bookmarkStart w:id="309" w:name="Tc_hxfuGeUXFUWvkIwzAiDPBg_49_0"/>
      <w:bookmarkStart w:id="310" w:name="Tc_peQju-pkX0SmHCbqdxMmgg_48_0"/>
      <w:bookmarkStart w:id="311" w:name="Tc_RdodQW4rLkWk2DUa4kiM0A_47_0"/>
      <w:bookmarkStart w:id="312" w:name="Tc_YAY1RBA9lUGQciplcFvqMw_46_0"/>
      <w:bookmarkStart w:id="313" w:name="Tc_Mp6lvk9Z7E6ve3a8pbElfg_45_0"/>
      <w:bookmarkStart w:id="314" w:name="Tc_JPZqu_UI9k2hSNKlOzEVqg_44_0"/>
      <w:bookmarkStart w:id="315" w:name="Tc_8OXvqqiMaEmy2cEJfnVJsw_43_0"/>
      <w:bookmarkStart w:id="316" w:name="Tc_7C1EDspOzUm-wXENTx7zSA_42_0"/>
      <w:bookmarkStart w:id="317" w:name="Tc_0cGuelmJvE-zHBL_SQ0bKg_41_0"/>
      <w:bookmarkStart w:id="318" w:name="Tc_gd6nvCLGB0umnVqHxV41OA_40_0"/>
      <w:bookmarkStart w:id="319" w:name="Tc_iwXmt-Opf0CibIaBsXloSA_39_0"/>
      <w:bookmarkStart w:id="320" w:name="Tc_UpQp5NbEXEik9_WloP6GhA_38_0"/>
      <w:bookmarkStart w:id="321" w:name="Tc_dWbQpZ8qYUWGFGtN6XUSXA_37_0"/>
      <w:bookmarkStart w:id="322" w:name="Tc_aZ3F6O5DwEyJNVdtiO-aUw_36_0"/>
      <w:bookmarkStart w:id="323" w:name="Tc_mqf5H1quXEu9RNsknraOnQ_35_0"/>
      <w:bookmarkStart w:id="324" w:name="Tc_HG0qvFhLjEiJuLMr--9S0A_34_0"/>
      <w:bookmarkStart w:id="325" w:name="Tc_0G-qEHUUEE2swCKOwF2Gbg_33_0"/>
      <w:bookmarkStart w:id="326" w:name="Tc_F__ediEqsUOqFLWax7dUwA_32_0"/>
      <w:bookmarkStart w:id="327" w:name="Tc_67lQBG4UOUGltC5-gp2iFA_31_0"/>
      <w:bookmarkStart w:id="328" w:name="Tc_bbt3oZLURECrtFBQ0aP5GA_30_0"/>
      <w:bookmarkStart w:id="329" w:name="Tc_OVziwq-cwEOZeiCNTFpC9Q_29_0"/>
      <w:bookmarkStart w:id="330" w:name="Tc_I8k4TTOQy0uex4XyKf40YQ_28_6"/>
      <w:bookmarkStart w:id="331" w:name="Tc_Nv4FdS4PvkCfBrzo0BHPnw_28_0"/>
      <w:bookmarkStart w:id="332" w:name="Tc_8ZPH0OVuLEieRHNAprqCxg_27_3"/>
      <w:bookmarkStart w:id="333" w:name="Tc_IIh7qYjwckagYSCDMvP5AQ_27_0"/>
      <w:bookmarkStart w:id="334" w:name="Tc_7TJKNM6FLEKIqaWSL89qqg_26_5"/>
      <w:bookmarkStart w:id="335" w:name="Tc_wu4wA6J2mkKZkd7lbS6U-w_26_2"/>
      <w:bookmarkStart w:id="336" w:name="Tc_fdP0UY-n3kST0h8zRU0Igw_26_0"/>
      <w:bookmarkStart w:id="337" w:name="Tc_fULILiZV2kOBURSsn7_nvQ_25_0"/>
      <w:bookmarkStart w:id="338" w:name="Tc_Nzl6bS5g_kqMnd4mTeEsyg_24_0"/>
      <w:bookmarkStart w:id="339" w:name="Tc_692NCaRpCUW3tCYKE1cC8A_22_5"/>
      <w:bookmarkStart w:id="340" w:name="Tc_nXcaXsh6h0WhJfqY9eZ7DQ_22_2"/>
      <w:bookmarkStart w:id="341" w:name="Tc_Z4HrtpQdTEqrobm6OazRcQ_22_0"/>
      <w:bookmarkStart w:id="342" w:name="Tc_VSt9xxjiEEOSBu4etDh8gw_21_0"/>
      <w:bookmarkStart w:id="343" w:name="Tc_wjqIffBB60-gfAZJilwnxg_20_0"/>
      <w:bookmarkStart w:id="344" w:name="Tc_0j--kIqjgE-K_ApziizgjQ_19_0"/>
      <w:bookmarkStart w:id="345" w:name="Tc_ndtLpdHmqkakNayDo5JMzg_18_0"/>
      <w:bookmarkStart w:id="346" w:name="Tc_iE_MkfuxdUGnEUanKPWTDA_17_0"/>
      <w:bookmarkStart w:id="347" w:name="Tc_YaSTTijbNUWDLdeVkTIq_Q_16_0"/>
      <w:bookmarkStart w:id="348" w:name="Tc_tK9ywbjyHkuDomOw5YLmUw_15_0"/>
      <w:bookmarkStart w:id="349" w:name="Tc_N_-kxaw5RUyOUZuhhCR-NA_14_0"/>
      <w:bookmarkStart w:id="350" w:name="Tc__boFufTH5UOgbX3RWAYrWw_13_0"/>
      <w:bookmarkStart w:id="351" w:name="Tc_YW9CrkzimEiTTEW0Sy4BXA_12_0"/>
      <w:bookmarkStart w:id="352" w:name="Tc_Xhzff6VfJ0eUhk_Dmfot5A_11_0"/>
      <w:bookmarkStart w:id="353" w:name="Tc_PtZLTU_aJUOK9uBrRWpBhQ_10_0"/>
      <w:bookmarkStart w:id="354" w:name="Tc_oiboj_-vY0myIx6AGZNCMw_9_0"/>
      <w:bookmarkStart w:id="355" w:name="Tc_S-9g3cSLWkaN3kRuQMOetw_8_0"/>
      <w:bookmarkStart w:id="356" w:name="Tc_vKIVraCkaUqFTUSDuzJV_w_7_0"/>
      <w:bookmarkStart w:id="357" w:name="Tc_4gaR_DDg50OIHWQlESZTjw_6_0"/>
      <w:bookmarkStart w:id="358" w:name="Tc_axyReCd630yUKeQ2R8lc5A_5_5"/>
      <w:bookmarkStart w:id="359" w:name="Tc_WbVwVsHB0EC05hwRvpbbHg_5_2"/>
      <w:bookmarkStart w:id="360" w:name="Tc_ZjB6NiWsLEO3gk_g9ww92w_5_0"/>
      <w:bookmarkStart w:id="361" w:name="Tc_hU_ImRURikeUXrLtt73WZg_4_0"/>
      <w:bookmarkStart w:id="362" w:name="Tc_COzlfueCekygdD7dCgiuUQ_3_0"/>
      <w:bookmarkStart w:id="363" w:name="Tc_XkBnmXwJa0ecdHhIaPV2-Q_2_5"/>
      <w:bookmarkStart w:id="364" w:name="Tc_n2fyn5lypEmLIBdys9Okyg_2_2"/>
      <w:bookmarkStart w:id="365" w:name="Tc_IVPgqlvgEUO_NCpgOtVjRQ_1_5"/>
      <w:bookmarkStart w:id="366" w:name="Tc_Pvc8HoRnzkWIDhUdzcyN_A_1_2"/>
      <w:bookmarkStart w:id="367" w:name="_90491947_3583_4ca1_bd2c_1dd8d9e5e423"/>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tbl>
      <w:tblPr>
        <w:tblW w:w="9397" w:type="dxa"/>
        <w:jc w:val="left"/>
        <w:tblInd w:w="0" w:type="dxa"/>
        <w:tblLayout w:type="fixed"/>
        <w:tblCellMar>
          <w:top w:w="0" w:type="dxa"/>
          <w:left w:w="0" w:type="dxa"/>
          <w:bottom w:w="0" w:type="dxa"/>
          <w:right w:w="0" w:type="dxa"/>
        </w:tblCellMar>
      </w:tblPr>
      <w:tblGrid>
        <w:gridCol w:w="6376"/>
        <w:gridCol w:w="346"/>
        <w:gridCol w:w="196"/>
        <w:gridCol w:w="946"/>
        <w:gridCol w:w="346"/>
        <w:gridCol w:w="196"/>
        <w:gridCol w:w="991"/>
      </w:tblGrid>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  ​</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less allowance of $54,991 and $30,408,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654,360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566,396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590,263</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187,257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82,441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1,719,648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1,683,392</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at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1,640,608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1,502,017</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(966,745)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(913,045)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673,863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588,972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623,847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121,341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134,082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Defined benefit pension asset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46,520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146,916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deferred tax asset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40,955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42424"/>
                <w:sz w:val="18"/>
              </w:rPr>
            </w:pPr>
            <w:r>
              <w:rPr>
                <w:rFonts w:ascii="Times New Roman;Times;serif" w:hAnsi="Times New Roman;Times;serif"/>
                <w:color w:val="242424"/>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42424"/>
                <w:sz w:val="18"/>
              </w:rPr>
            </w:pPr>
            <w:r>
              <w:rPr>
                <w:rFonts w:ascii="Times New Roman;Times;serif" w:hAnsi="Times New Roman;Times;serif"/>
                <w:color w:val="242424"/>
                <w:sz w:val="18"/>
              </w:rPr>
              <w:t>3,369,329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42424"/>
                <w:sz w:val="18"/>
              </w:rPr>
            </w:pPr>
            <w:r>
              <w:rPr>
                <w:rFonts w:ascii="Times New Roman;Times;serif" w:hAnsi="Times New Roman;Times;serif"/>
                <w:color w:val="242424"/>
                <w:sz w:val="18"/>
              </w:rPr>
              <w:t>3,329,972</w:t>
            </w:r>
          </w:p>
        </w:tc>
      </w:tr>
      <w:tr>
        <w:trPr/>
        <w:tc>
          <w:tcPr>
            <w:tcW w:w="6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REDEEMABLE NONCONTROLLING INTERESTS,</w:t>
              <w:br/>
              <w:t>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installments of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payable to banks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Mandatorily redeemable financial instrument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372,197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employee compensation and benefits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128,155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143,028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Contract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126,932</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132,379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payable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731,620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811,425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6,344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excluding current installments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795,150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729,941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134,534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26,736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1,727,044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1,736,359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51,519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of $1 par value, authorized 75,000,000 shares; issued 27,900,000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3,156,235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2,940,838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(290,515)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(332,775)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(1,260,833)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(1,093,869)</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1,632,787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1,542,094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noncontrolling interests,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3,369,329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3,329,972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bookmarkStart w:id="368" w:name="_b34e8f55_d152_433e_b8dc_e6b51b69a4ae"/>
      <w:bookmarkEnd w:id="368"/>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bookmarkStart w:id="369" w:name="CONSOLIDATEDSTATEMENTSOFCASHFLOWS_628834"/>
      <w:bookmarkEnd w:id="369"/>
      <w:r>
        <w:rPr>
          <w:rFonts w:ascii="Times New Roman;Times;serif" w:hAnsi="Times New Roman;Times;serif"/>
          <w:b/>
          <w:sz w:val="20"/>
        </w:rPr>
        <w:t>CONSOLIDATED STATEMENTS OF CASH FLOWS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370" w:name="Tc_YG8VE0E5T0WsxC2dnqdzGQ_57_0"/>
      <w:bookmarkStart w:id="371" w:name="Tc_ist5ZbAyykq_BDvXw339Rg_56_8"/>
      <w:bookmarkStart w:id="372" w:name="Tc_WrGGJmomukaX4PxJBVqFSg_56_5"/>
      <w:bookmarkStart w:id="373" w:name="Tc_5RyUQAtV0Uevxch3QrDYWA_56_2"/>
      <w:bookmarkStart w:id="374" w:name="Tc__4x-WednvU-3C7PcQJaxHw_56_0"/>
      <w:bookmarkStart w:id="375" w:name="Tc_kSoJuYrtvEGzpS3D_Cm-cA_55_0"/>
      <w:bookmarkStart w:id="376" w:name="Tc__A6xpAB2G06KUTSHtTkzyQ_53_8"/>
      <w:bookmarkStart w:id="377" w:name="Tc_3hsjrD7YlEa67SG85HwBnw_53_5"/>
      <w:bookmarkStart w:id="378" w:name="Tc_eOO6kdXjckm4DTpuAul-gQ_53_2"/>
      <w:bookmarkStart w:id="379" w:name="Tc_5TysePoDuU-wj8iYFxvOjA_53_0"/>
      <w:bookmarkStart w:id="380" w:name="Tc_tfyIH0X-FkC4SUjipsdntw_52_0"/>
      <w:bookmarkStart w:id="381" w:name="Tc_kqSGyvC85EaZ5goF0VgoSQ_51_0"/>
      <w:bookmarkStart w:id="382" w:name="Tc_-BkEsF7y1UeRq6ctzbNvAA_50_0"/>
      <w:bookmarkStart w:id="383" w:name="Tc_BJsKwb0Mo0u9oEq0SzCauw_49_0"/>
      <w:bookmarkStart w:id="384" w:name="Tc_B5Nynz60pEugJJKiFqJqNw_48_9"/>
      <w:bookmarkStart w:id="385" w:name="Tc_JI2cVRgGJ0m9a9tWAZyikg_48_0"/>
      <w:bookmarkStart w:id="386" w:name="Tc_DYRLOLujEkaNlJDl-_P4hQ_47_0"/>
      <w:bookmarkStart w:id="387" w:name="Tc_jiduREf5w06BHORYts1jSg_46_0"/>
      <w:bookmarkStart w:id="388" w:name="Tc_IZOlgPvDB0yybXXuQXxLEA_45_0"/>
      <w:bookmarkStart w:id="389" w:name="Tc_3_WAut6BAk65OVwMIvsPHA_44_9"/>
      <w:bookmarkStart w:id="390" w:name="Tc_hX5hi6z28kCbFQPtn-96ug_44_0"/>
      <w:bookmarkStart w:id="391" w:name="Tc_w5PJnbVpzEeXue09a5qyEw_43_0"/>
      <w:bookmarkStart w:id="392" w:name="Tc_T_dQw7EJAUilEKaYBjS14A_42_0"/>
      <w:bookmarkStart w:id="393" w:name="Tc_idV7Tyci50ucR_AdXoMORQ_41_9"/>
      <w:bookmarkStart w:id="394" w:name="Tc_pLGSMFi0DU2wzQ1QMEgTGA_41_3"/>
      <w:bookmarkStart w:id="395" w:name="Tc_w8vcogRMx0iSrOO8oDObFw_41_0"/>
      <w:bookmarkStart w:id="396" w:name="Tc_HG_hiukSxUmE6Jiich48VQ_40_0"/>
      <w:bookmarkStart w:id="397" w:name="Tc_vZ1S0Y1E8U6jPR8KoSdxGg_39_0"/>
      <w:bookmarkStart w:id="398" w:name="Tc_d58LUdUN20egf3QemOxJdA_38_0"/>
      <w:bookmarkStart w:id="399" w:name="Tc_yiPi1209tECTUeQGdqaJWQ_37_0"/>
      <w:bookmarkStart w:id="400" w:name="Tc_q-ZKYbAzu0CD_HG5ZUHLEA_36_0"/>
      <w:bookmarkStart w:id="401" w:name="Tc_fApDGm5iDU--ARrTcqJyoQ_35_0"/>
      <w:bookmarkStart w:id="402" w:name="Tc_1FBetD3TE0CkRjf05zYKSQ_34_0"/>
      <w:bookmarkStart w:id="403" w:name="Tc_iEpNVbAN3kS55DUljqSCmA_33_6"/>
      <w:bookmarkStart w:id="404" w:name="Tc_4aPlld48aUG0igs7TM5rUg_33_3"/>
      <w:bookmarkStart w:id="405" w:name="Tc_nqf292pHkEG_A7isQGdZqA_33_0"/>
      <w:bookmarkStart w:id="406" w:name="Tc_tnDmGG7qWkWy3u7QD3VLCA_32_6"/>
      <w:bookmarkStart w:id="407" w:name="Tc_iFNIxbIsE0W7b7rlVow4Iw_32_0"/>
      <w:bookmarkStart w:id="408" w:name="Tc_vOZGtnhXiEm4mrkSdO6Uyw_31_0"/>
      <w:bookmarkStart w:id="409" w:name="Tc_SYRCq2HfzUSQbJWb7fsmDg_30_3"/>
      <w:bookmarkStart w:id="410" w:name="Tc_LZCgWfBRv0aJDeM347ummA_30_0"/>
      <w:bookmarkStart w:id="411" w:name="Tc_tUJChMQ88UuMIAbgVcEiIw_29_0"/>
      <w:bookmarkStart w:id="412" w:name="Tc_cmbWVruZI0md-n_l7M_L6A_28_0"/>
      <w:bookmarkStart w:id="413" w:name="Tc__aCD884mIESMmw_0GV066A_27_0"/>
      <w:bookmarkStart w:id="414" w:name="Tc_CAmTglkCn0uyUT4sA1NZ2w_26_0"/>
      <w:bookmarkStart w:id="415" w:name="Tc_zq3xzq4mIEKz6sleLPufmA_25_0"/>
      <w:bookmarkStart w:id="416" w:name="Tc__z8osj9bZEmYs8VGyna4BQ_24_0"/>
      <w:bookmarkStart w:id="417" w:name="Tc_fPe_hr6g8U2BVcGcOiBfug_23_0"/>
      <w:bookmarkStart w:id="418" w:name="Tc_NVl71l-jJUeS0XebjFJRYw_22_0"/>
      <w:bookmarkStart w:id="419" w:name="Tc_0rGkAF6lBUelBtcfHyrIcQ_21_0"/>
      <w:bookmarkStart w:id="420" w:name="Tc_L3dGtmBCf0W-Y0bEjGp8QQ_20_0"/>
      <w:bookmarkStart w:id="421" w:name="Tc_GDVvNV0_SUCESYyi1KWDWA_19_0"/>
      <w:bookmarkStart w:id="422" w:name="Tc_mJAjkh8CqUSELRq1EqzudQ_18_0"/>
      <w:bookmarkStart w:id="423" w:name="Tc_GjTSZkBhqEaEwu89dpEqRQ_17_0"/>
      <w:bookmarkStart w:id="424" w:name="Tc_dFDL_ml2mUCTVZO3nMIAPg_16_9"/>
      <w:bookmarkStart w:id="425" w:name="Tc_1cFMB8iRvUKqkfPOXOzSHA_16_6"/>
      <w:bookmarkStart w:id="426" w:name="Tc_vBeXvwEiKEGVh9IXZqyOpQ_16_0"/>
      <w:bookmarkStart w:id="427" w:name="Tc_W348DWIR_U2Cx7sPqNAtIw_15_0"/>
      <w:bookmarkStart w:id="428" w:name="Tc_xUhbpwlcFUutbHEDlO3sww_14_0"/>
      <w:bookmarkStart w:id="429" w:name="Tc_OwY0E5NIBkyJTU7bj4Rafw_13_0"/>
      <w:bookmarkStart w:id="430" w:name="Tc_e9PVBOJ4qka2DvT1MCBgyQ_12_0"/>
      <w:bookmarkStart w:id="431" w:name="Tc_Fo0Jf9suzkm5R5Cwn0ijAw_11_0"/>
      <w:bookmarkStart w:id="432" w:name="Tc_4mYWTtSC5Uy1cuJQXTJexQ_10_3"/>
      <w:bookmarkStart w:id="433" w:name="Tc_5rW-VAeoE0mvmP6G-z1TfA_10_0"/>
      <w:bookmarkStart w:id="434" w:name="Tc_sXebFNfWU06PRmhbN2WPqg_9_6"/>
      <w:bookmarkStart w:id="435" w:name="Tc_1f3ZY9UnH0aEQmEC98YTIA_9_0"/>
      <w:bookmarkStart w:id="436" w:name="Tc_LNyVWNUxiUyM-wlx9cqUFg_8_0"/>
      <w:bookmarkStart w:id="437" w:name="Tc_YMnjOO-ZekeamK5_FbPzHw_7_0"/>
      <w:bookmarkStart w:id="438" w:name="Tc_NjzfSbwoo02CNZdenAyo5A_6_0"/>
      <w:bookmarkStart w:id="439" w:name="Tc_IMogvuNKf0-9AXfcNMD3Yw_5_8"/>
      <w:bookmarkStart w:id="440" w:name="Tc_SRjsB0nC5km8iVYV3dX7-g_5_5"/>
      <w:bookmarkStart w:id="441" w:name="Tc_lUamAJwv7UeE4Y2Xra23-Q_5_2"/>
      <w:bookmarkStart w:id="442" w:name="Tc_aCDI9xuWLkCU_utW-q7UKA_5_0"/>
      <w:bookmarkStart w:id="443" w:name="Tc_tAEhe_H8EUysTHUmhV3QMg_4_0"/>
      <w:bookmarkStart w:id="444" w:name="Tc_DoTS5OWAX0SlExNrzEk86Q_3_8"/>
      <w:bookmarkStart w:id="445" w:name="Tc_IAr8qqLuGUKgZqEYtI1NxA_3_5"/>
      <w:bookmarkStart w:id="446" w:name="Tc_tH5B08gtWUGHGhkp3qigWA_3_2"/>
      <w:bookmarkStart w:id="447" w:name="Tc_Y4sq_OkEckqUebMteSFhQw_2_8"/>
      <w:bookmarkStart w:id="448" w:name="Tc_ChI1h_J6QkWR2E8PJo3bIQ_2_5"/>
      <w:bookmarkStart w:id="449" w:name="Tc_wdDMc7_ZxUiAL4Yy0I4gpw_2_2"/>
      <w:bookmarkStart w:id="450" w:name="Tc_Lcqd39hj5U-aub3XVppQ_Q_1_2"/>
      <w:bookmarkStart w:id="451" w:name="_58cac240_e663_48db_974a_cca92399869d"/>
      <w:bookmarkStart w:id="452" w:name="Tc_YG8VE0E5T0WsxC2dnqdzGQ_57_0"/>
      <w:bookmarkStart w:id="453" w:name="Tc_ist5ZbAyykq_BDvXw339Rg_56_8"/>
      <w:bookmarkStart w:id="454" w:name="Tc_WrGGJmomukaX4PxJBVqFSg_56_5"/>
      <w:bookmarkStart w:id="455" w:name="Tc_5RyUQAtV0Uevxch3QrDYWA_56_2"/>
      <w:bookmarkStart w:id="456" w:name="Tc__4x-WednvU-3C7PcQJaxHw_56_0"/>
      <w:bookmarkStart w:id="457" w:name="Tc_kSoJuYrtvEGzpS3D_Cm-cA_55_0"/>
      <w:bookmarkStart w:id="458" w:name="Tc__A6xpAB2G06KUTSHtTkzyQ_53_8"/>
      <w:bookmarkStart w:id="459" w:name="Tc_3hsjrD7YlEa67SG85HwBnw_53_5"/>
      <w:bookmarkStart w:id="460" w:name="Tc_eOO6kdXjckm4DTpuAul-gQ_53_2"/>
      <w:bookmarkStart w:id="461" w:name="Tc_5TysePoDuU-wj8iYFxvOjA_53_0"/>
      <w:bookmarkStart w:id="462" w:name="Tc_tfyIH0X-FkC4SUjipsdntw_52_0"/>
      <w:bookmarkStart w:id="463" w:name="Tc_kqSGyvC85EaZ5goF0VgoSQ_51_0"/>
      <w:bookmarkStart w:id="464" w:name="Tc_-BkEsF7y1UeRq6ctzbNvAA_50_0"/>
      <w:bookmarkStart w:id="465" w:name="Tc_BJsKwb0Mo0u9oEq0SzCauw_49_0"/>
      <w:bookmarkStart w:id="466" w:name="Tc_B5Nynz60pEugJJKiFqJqNw_48_9"/>
      <w:bookmarkStart w:id="467" w:name="Tc_JI2cVRgGJ0m9a9tWAZyikg_48_0"/>
      <w:bookmarkStart w:id="468" w:name="Tc_DYRLOLujEkaNlJDl-_P4hQ_47_0"/>
      <w:bookmarkStart w:id="469" w:name="Tc_jiduREf5w06BHORYts1jSg_46_0"/>
      <w:bookmarkStart w:id="470" w:name="Tc_IZOlgPvDB0yybXXuQXxLEA_45_0"/>
      <w:bookmarkStart w:id="471" w:name="Tc_3_WAut6BAk65OVwMIvsPHA_44_9"/>
      <w:bookmarkStart w:id="472" w:name="Tc_hX5hi6z28kCbFQPtn-96ug_44_0"/>
      <w:bookmarkStart w:id="473" w:name="Tc_w5PJnbVpzEeXue09a5qyEw_43_0"/>
      <w:bookmarkStart w:id="474" w:name="Tc_T_dQw7EJAUilEKaYBjS14A_42_0"/>
      <w:bookmarkStart w:id="475" w:name="Tc_idV7Tyci50ucR_AdXoMORQ_41_9"/>
      <w:bookmarkStart w:id="476" w:name="Tc_pLGSMFi0DU2wzQ1QMEgTGA_41_3"/>
      <w:bookmarkStart w:id="477" w:name="Tc_w8vcogRMx0iSrOO8oDObFw_41_0"/>
      <w:bookmarkStart w:id="478" w:name="Tc_HG_hiukSxUmE6Jiich48VQ_40_0"/>
      <w:bookmarkStart w:id="479" w:name="Tc_vZ1S0Y1E8U6jPR8KoSdxGg_39_0"/>
      <w:bookmarkStart w:id="480" w:name="Tc_d58LUdUN20egf3QemOxJdA_38_0"/>
      <w:bookmarkStart w:id="481" w:name="Tc_yiPi1209tECTUeQGdqaJWQ_37_0"/>
      <w:bookmarkStart w:id="482" w:name="Tc_q-ZKYbAzu0CD_HG5ZUHLEA_36_0"/>
      <w:bookmarkStart w:id="483" w:name="Tc_fApDGm5iDU--ARrTcqJyoQ_35_0"/>
      <w:bookmarkStart w:id="484" w:name="Tc_1FBetD3TE0CkRjf05zYKSQ_34_0"/>
      <w:bookmarkStart w:id="485" w:name="Tc_iEpNVbAN3kS55DUljqSCmA_33_6"/>
      <w:bookmarkStart w:id="486" w:name="Tc_4aPlld48aUG0igs7TM5rUg_33_3"/>
      <w:bookmarkStart w:id="487" w:name="Tc_nqf292pHkEG_A7isQGdZqA_33_0"/>
      <w:bookmarkStart w:id="488" w:name="Tc_tnDmGG7qWkWy3u7QD3VLCA_32_6"/>
      <w:bookmarkStart w:id="489" w:name="Tc_iFNIxbIsE0W7b7rlVow4Iw_32_0"/>
      <w:bookmarkStart w:id="490" w:name="Tc_vOZGtnhXiEm4mrkSdO6Uyw_31_0"/>
      <w:bookmarkStart w:id="491" w:name="Tc_SYRCq2HfzUSQbJWb7fsmDg_30_3"/>
      <w:bookmarkStart w:id="492" w:name="Tc_LZCgWfBRv0aJDeM347ummA_30_0"/>
      <w:bookmarkStart w:id="493" w:name="Tc_tUJChMQ88UuMIAbgVcEiIw_29_0"/>
      <w:bookmarkStart w:id="494" w:name="Tc_cmbWVruZI0md-n_l7M_L6A_28_0"/>
      <w:bookmarkStart w:id="495" w:name="Tc__aCD884mIESMmw_0GV066A_27_0"/>
      <w:bookmarkStart w:id="496" w:name="Tc_CAmTglkCn0uyUT4sA1NZ2w_26_0"/>
      <w:bookmarkStart w:id="497" w:name="Tc_zq3xzq4mIEKz6sleLPufmA_25_0"/>
      <w:bookmarkStart w:id="498" w:name="Tc__z8osj9bZEmYs8VGyna4BQ_24_0"/>
      <w:bookmarkStart w:id="499" w:name="Tc_fPe_hr6g8U2BVcGcOiBfug_23_0"/>
      <w:bookmarkStart w:id="500" w:name="Tc_NVl71l-jJUeS0XebjFJRYw_22_0"/>
      <w:bookmarkStart w:id="501" w:name="Tc_0rGkAF6lBUelBtcfHyrIcQ_21_0"/>
      <w:bookmarkStart w:id="502" w:name="Tc_L3dGtmBCf0W-Y0bEjGp8QQ_20_0"/>
      <w:bookmarkStart w:id="503" w:name="Tc_GDVvNV0_SUCESYyi1KWDWA_19_0"/>
      <w:bookmarkStart w:id="504" w:name="Tc_mJAjkh8CqUSELRq1EqzudQ_18_0"/>
      <w:bookmarkStart w:id="505" w:name="Tc_GjTSZkBhqEaEwu89dpEqRQ_17_0"/>
      <w:bookmarkStart w:id="506" w:name="Tc_dFDL_ml2mUCTVZO3nMIAPg_16_9"/>
      <w:bookmarkStart w:id="507" w:name="Tc_1cFMB8iRvUKqkfPOXOzSHA_16_6"/>
      <w:bookmarkStart w:id="508" w:name="Tc_vBeXvwEiKEGVh9IXZqyOpQ_16_0"/>
      <w:bookmarkStart w:id="509" w:name="Tc_W348DWIR_U2Cx7sPqNAtIw_15_0"/>
      <w:bookmarkStart w:id="510" w:name="Tc_xUhbpwlcFUutbHEDlO3sww_14_0"/>
      <w:bookmarkStart w:id="511" w:name="Tc_OwY0E5NIBkyJTU7bj4Rafw_13_0"/>
      <w:bookmarkStart w:id="512" w:name="Tc_e9PVBOJ4qka2DvT1MCBgyQ_12_0"/>
      <w:bookmarkStart w:id="513" w:name="Tc_Fo0Jf9suzkm5R5Cwn0ijAw_11_0"/>
      <w:bookmarkStart w:id="514" w:name="Tc_4mYWTtSC5Uy1cuJQXTJexQ_10_3"/>
      <w:bookmarkStart w:id="515" w:name="Tc_5rW-VAeoE0mvmP6G-z1TfA_10_0"/>
      <w:bookmarkStart w:id="516" w:name="Tc_sXebFNfWU06PRmhbN2WPqg_9_6"/>
      <w:bookmarkStart w:id="517" w:name="Tc_1f3ZY9UnH0aEQmEC98YTIA_9_0"/>
      <w:bookmarkStart w:id="518" w:name="Tc_LNyVWNUxiUyM-wlx9cqUFg_8_0"/>
      <w:bookmarkStart w:id="519" w:name="Tc_YMnjOO-ZekeamK5_FbPzHw_7_0"/>
      <w:bookmarkStart w:id="520" w:name="Tc_NjzfSbwoo02CNZdenAyo5A_6_0"/>
      <w:bookmarkStart w:id="521" w:name="Tc_IMogvuNKf0-9AXfcNMD3Yw_5_8"/>
      <w:bookmarkStart w:id="522" w:name="Tc_SRjsB0nC5km8iVYV3dX7-g_5_5"/>
      <w:bookmarkStart w:id="523" w:name="Tc_lUamAJwv7UeE4Y2Xra23-Q_5_2"/>
      <w:bookmarkStart w:id="524" w:name="Tc_aCDI9xuWLkCU_utW-q7UKA_5_0"/>
      <w:bookmarkStart w:id="525" w:name="Tc_tAEhe_H8EUysTHUmhV3QMg_4_0"/>
      <w:bookmarkStart w:id="526" w:name="Tc_DoTS5OWAX0SlExNrzEk86Q_3_8"/>
      <w:bookmarkStart w:id="527" w:name="Tc_IAr8qqLuGUKgZqEYtI1NxA_3_5"/>
      <w:bookmarkStart w:id="528" w:name="Tc_tH5B08gtWUGHGhkp3qigWA_3_2"/>
      <w:bookmarkStart w:id="529" w:name="Tc_Y4sq_OkEckqUebMteSFhQw_2_8"/>
      <w:bookmarkStart w:id="530" w:name="Tc_ChI1h_J6QkWR2E8PJo3bIQ_2_5"/>
      <w:bookmarkStart w:id="531" w:name="Tc_wdDMc7_ZxUiAL4Yy0I4gpw_2_2"/>
      <w:bookmarkStart w:id="532" w:name="Tc_Lcqd39hj5U-aub3XVppQ_Q_1_2"/>
      <w:bookmarkStart w:id="533" w:name="_58cac240_e663_48db_974a_cca92399869d"/>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tbl>
      <w:tblPr>
        <w:tblW w:w="10205" w:type="dxa"/>
        <w:jc w:val="left"/>
        <w:tblInd w:w="0" w:type="dxa"/>
        <w:tblLayout w:type="fixed"/>
        <w:tblCellMar>
          <w:top w:w="0" w:type="dxa"/>
          <w:left w:w="0" w:type="dxa"/>
          <w:bottom w:w="0" w:type="dxa"/>
          <w:right w:w="0" w:type="dxa"/>
        </w:tblCellMar>
      </w:tblPr>
      <w:tblGrid>
        <w:gridCol w:w="5715"/>
        <w:gridCol w:w="346"/>
        <w:gridCol w:w="221"/>
        <w:gridCol w:w="914"/>
        <w:gridCol w:w="346"/>
        <w:gridCol w:w="221"/>
        <w:gridCol w:w="914"/>
        <w:gridCol w:w="346"/>
        <w:gridCol w:w="219"/>
        <w:gridCol w:w="963"/>
      </w:tblGrid>
      <w:tr>
        <w:trPr/>
        <w:tc>
          <w:tcPr>
            <w:tcW w:w="57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4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57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center"/>
              <w:rPr/>
            </w:pPr>
            <w:r>
              <w:rPr/>
              <w:t>​</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57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  ​</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353,688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350,624</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144,912</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earnings to 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pPr>
            <w:r>
              <w:rPr/>
              <w:t>  ​</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88,509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95,395</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98,708</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(19,599)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(17,345)</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140,844</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on divestitures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4,474</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(2,994)</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24,308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29,869</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39,219</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on sale of property, plant, and equipment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7,619</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(19,196)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(24,655)</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(18,649)</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2,824</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82,466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(29,474)</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(46,308)</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39,442</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45,643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88,433</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(79,804)</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(11,844)</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(1,230)</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 (current and non-current)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21,850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(26,161)</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(26,334)</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24,801</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 (current and non-current)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(80,504)</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63,682</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(106,884)</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3,558</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8,205</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22,591</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income taxes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(43,019)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18,827</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13,746</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(14,219)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456,484</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572,678</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306,775</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(145,035)</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(79,451)</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(96,771)</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divestitures, net of cash divested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assets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1,710</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property damage insurance claims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7,468</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net of cash acquired</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(32,676)</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(142,739)</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(78,878)</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(115,281)</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pPr>
            <w:r>
              <w:rPr/>
              <w:t>  ​</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short-term borrowings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15,041</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30,785</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on 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(34,083)</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borrowings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215,785</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30,009</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370,012</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repayments on long-term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(151,563)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(408,080)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(134,748)</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settlement of financial derivatives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2,711</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pPr>
            <w:r>
              <w:rPr/>
              <w:t>—</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(52,481)</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(48,358)</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(49,515)</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to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(101,771)</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(17,745)</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(198,089)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(70,069)</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(345,279)</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exercises under stock plans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6,354</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6,632</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5,841</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withholdings on exercises under stock plans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(12,896)</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(13,075)</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(18,756)</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(298,862)</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(522,560)</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(176,405)</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(9,966)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2,546</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22,825</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(38,726)</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17,635</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203,041</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185,406</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equivalents—end of period</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203,041</w:t>
            </w:r>
          </w:p>
        </w:tc>
      </w:tr>
      <w:tr>
        <w:trPr/>
        <w:tc>
          <w:tcPr>
            <w:tcW w:w="57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38,997</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57,709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55,541</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84,228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125,548</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103,697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bookmarkStart w:id="534" w:name="_ad05d000_4a18_44ed_8835_2b9d44f60e42"/>
      <w:bookmarkEnd w:id="534"/>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bookmarkStart w:id="535" w:name="CONSOLIDATEDSTATEMENTSOFSHAREHOLDERSEQUI"/>
      <w:bookmarkEnd w:id="535"/>
      <w:r>
        <w:rPr>
          <w:rFonts w:ascii="Times New Roman;Times;serif" w:hAnsi="Times New Roman;Times;serif"/>
          <w:b/>
          <w:sz w:val="20"/>
        </w:rPr>
        <w:t>CONSOLIDATED STATEMENTS OF SHAREHOLDERS’ EQUITY</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AND REDEEMABLE NONCONTROLLING INTERESTS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536" w:name="Tc_pAUHFhZU6kKAelU_MbQs4w_32_20"/>
      <w:bookmarkStart w:id="537" w:name="Tc_gk_C6Fpgjk6dKz0nSWiUHw_32_17"/>
      <w:bookmarkStart w:id="538" w:name="Tc_06zqM__L5km6i11R1U_vZA_32_14"/>
      <w:bookmarkStart w:id="539" w:name="Tc_c7ZNec26VUmbcKi860uybg_32_11"/>
      <w:bookmarkStart w:id="540" w:name="Tc_u0XBUi6PykaTIuwDXHy0gg_32_8"/>
      <w:bookmarkStart w:id="541" w:name="Tc_30HAhiuaxUK4ch64SItMlg_32_6"/>
      <w:bookmarkStart w:id="542" w:name="Tc_ajwBrsMa5EuzLMdwdydIXw_32_5"/>
      <w:bookmarkStart w:id="543" w:name="Tc_I4lAVSC0UUiKKoGqJtDYDQ_32_2"/>
      <w:bookmarkStart w:id="544" w:name="Tc_lcag2c-GeEmaw7_XayH1DA_32_0"/>
      <w:bookmarkStart w:id="545" w:name="Tc_Jn6DMQbct0KV1MLBe_F9gA_31_21"/>
      <w:bookmarkStart w:id="546" w:name="Tc_NBaZEca1bEO2LDvks-CNeA_31_12"/>
      <w:bookmarkStart w:id="547" w:name="Tc_EeW2-6Xda0O_OCSBavxXXA_31_6"/>
      <w:bookmarkStart w:id="548" w:name="Tc_Mi0MxnCE1kybOe_x2eARIw_31_3"/>
      <w:bookmarkStart w:id="549" w:name="Tc_cJzVT1wWdUefXkXHrWIwwQ_31_0"/>
      <w:bookmarkStart w:id="550" w:name="Tc_mTVywmRyo0Ot83d-Hk2VhA_30_21"/>
      <w:bookmarkStart w:id="551" w:name="Tc_cnjSZccMSUeqJ9oyZ9gMig_30_12"/>
      <w:bookmarkStart w:id="552" w:name="Tc_Uv0KZ1HLCU6WL87QbYNYzQ_30_9"/>
      <w:bookmarkStart w:id="553" w:name="Tc_qGVpY4Rpv0yenZ2CT7OK7Q_30_6"/>
      <w:bookmarkStart w:id="554" w:name="Tc_TZ_vrfUf90q-_9nkBgGgPA_30_3"/>
      <w:bookmarkStart w:id="555" w:name="Tc_mAhFwtcBC0qCdfFR_ichhA_30_0"/>
      <w:bookmarkStart w:id="556" w:name="Tc_vqdmw0E-oEKfTXIhkFE2Ww_29_18"/>
      <w:bookmarkStart w:id="557" w:name="Tc_R6SOn42oQkqJK1O6UhIOZg_29_15"/>
      <w:bookmarkStart w:id="558" w:name="Tc_L1NneozyhUOTD7op-_3RkQ_29_12"/>
      <w:bookmarkStart w:id="559" w:name="Tc_jBRKwkmdXkyuo0_xGxjeTw_29_9"/>
      <w:bookmarkStart w:id="560" w:name="Tc_e3_0wIEM4UagltLoKhpe6A_29_6"/>
      <w:bookmarkStart w:id="561" w:name="Tc_ay0a7QSa3063_S-DGCXzfw_29_3"/>
      <w:bookmarkStart w:id="562" w:name="Tc_T4pT9NCYA0qSBbvpm3OqXQ_29_0"/>
      <w:bookmarkStart w:id="563" w:name="Tc_JPbZ69HlhEmd_y7bv2o2Yg_28_15"/>
      <w:bookmarkStart w:id="564" w:name="Tc_FMhh2KTrtEiH2IGSdFup0A_28_12"/>
      <w:bookmarkStart w:id="565" w:name="Tc_Cpfjhz41ukaMx7D-dO5qGQ_28_6"/>
      <w:bookmarkStart w:id="566" w:name="Tc_rPhczujpkEql4pgp24cUCg_28_3"/>
      <w:bookmarkStart w:id="567" w:name="Tc_nt20wQgDkUy0iGsBC2c0hg_28_0"/>
      <w:bookmarkStart w:id="568" w:name="Tc_aizcw9sZFUCzfpdm1zaxzw_27_15"/>
      <w:bookmarkStart w:id="569" w:name="Tc_w1YAM6kt60iCLQ88MqNTUw_27_12"/>
      <w:bookmarkStart w:id="570" w:name="Tc_aZ2ILa7SNEKPjBMlqQGp5w_27_6"/>
      <w:bookmarkStart w:id="571" w:name="Tc_Ofyl6GiAK0qnkV8Ed1P_RA_27_3"/>
      <w:bookmarkStart w:id="572" w:name="Tc__8jQutNK7kKS2mgrIsLPqg_27_0"/>
      <w:bookmarkStart w:id="573" w:name="Tc_0vIKIyvfNUqL1BqVZtyUoQ_26_15"/>
      <w:bookmarkStart w:id="574" w:name="Tc_T-nCxnlza0y8cNZcsrPEcA_26_12"/>
      <w:bookmarkStart w:id="575" w:name="Tc_bXrVDWMpxk6BPzjHTcujAg_26_6"/>
      <w:bookmarkStart w:id="576" w:name="Tc_X9X6XoobgkuWbEtr5YZ4Nw_26_3"/>
      <w:bookmarkStart w:id="577" w:name="Tc_vbWB0CPtx0mi5T1Cmd5dEg_26_0"/>
      <w:bookmarkStart w:id="578" w:name="Tc_QLG0DZrkHEaaHrtoofeKVA_25_21"/>
      <w:bookmarkStart w:id="579" w:name="Tc_L9-PLoWZyUSAX-MpulgSeA_25_15"/>
      <w:bookmarkStart w:id="580" w:name="Tc_KxrwHwNU90uME-1S-rd8FQ_25_12"/>
      <w:bookmarkStart w:id="581" w:name="Tc_YroiUMEWWEW0-BHytdAHJA_25_6"/>
      <w:bookmarkStart w:id="582" w:name="Tc_j86Vj_osYEGLaqMaL-QCnQ_25_3"/>
      <w:bookmarkStart w:id="583" w:name="Tc_3wu7THrgWEChA1ijmRhcYg_25_0"/>
      <w:bookmarkStart w:id="584" w:name="Tc_9HFFdmrQLkupuqDhDpYrxg_24_15"/>
      <w:bookmarkStart w:id="585" w:name="Tc_yWYf4ri8uEaThGjUG7MLOA_24_9"/>
      <w:bookmarkStart w:id="586" w:name="Tc_4EVqT7eWJE6SDMyrxCHKCg_24_6"/>
      <w:bookmarkStart w:id="587" w:name="Tc_bqp6g-s_XUaZ8uVQ8i8EXQ_24_3"/>
      <w:bookmarkStart w:id="588" w:name="Tc_tffoUGqmx02uSmju0RABbA_24_0"/>
      <w:bookmarkStart w:id="589" w:name="Tc_u0DTJagftU6kGb5uCAJVqw_23_15"/>
      <w:bookmarkStart w:id="590" w:name="Tc_ISPdFNUX_0OxtvcJMfJpGA_23_12"/>
      <w:bookmarkStart w:id="591" w:name="Tc_KNxBawbCw0OlWo09QIwDzA_23_6"/>
      <w:bookmarkStart w:id="592" w:name="Tc_i1Mi1Dpn0EeZdmp-WaSPgw_23_3"/>
      <w:bookmarkStart w:id="593" w:name="Tc_Q-MuSGv1qE6W2SwJqG2g2Q_23_0"/>
      <w:bookmarkStart w:id="594" w:name="Tc_TbfqfHDpK0uxBgnW2YxjcQ_22_6"/>
      <w:bookmarkStart w:id="595" w:name="Tc_yVKuNN1H20qRN0E7HVLgxA_22_0"/>
      <w:bookmarkStart w:id="596" w:name="Tc_--wzE9Vv0kSrAFsMAR-b4A_21_21"/>
      <w:bookmarkStart w:id="597" w:name="Tc_73lG_GwPIEmBZEAHTD_Y2g_21_12"/>
      <w:bookmarkStart w:id="598" w:name="Tc_6AwTEwPt1EOIiiDmNcFVYw_21_3"/>
      <w:bookmarkStart w:id="599" w:name="Tc_NuRQJtS0UU2OiO6LMJZmag_21_0"/>
      <w:bookmarkStart w:id="600" w:name="Tc_K0FaTl64b0WCVMQ3KM3ZYw_20_21"/>
      <w:bookmarkStart w:id="601" w:name="Tc_KuReR0IMB0SqPdrA78AVSQ_20_12"/>
      <w:bookmarkStart w:id="602" w:name="Tc_XafUUPxRUEGk3u30IGNdvQ_20_9"/>
      <w:bookmarkStart w:id="603" w:name="Tc_iAt6FOUhKkK0wxaY3fQOag_20_3"/>
      <w:bookmarkStart w:id="604" w:name="Tc_CMKGKsx57kqjfWkluIQSmQ_20_0"/>
      <w:bookmarkStart w:id="605" w:name="Tc_BpBQGIzuVUCD9gdLu7K5yg_19_15"/>
      <w:bookmarkStart w:id="606" w:name="Tc_d9H6XDf4skK3oemGDVyj7A_19_12"/>
      <w:bookmarkStart w:id="607" w:name="Tc_YFcXj4IqlEaxvlFHRsFVSA_19_6"/>
      <w:bookmarkStart w:id="608" w:name="Tc_PWAzbE0Y50WVKG3WNpGHfQ_19_3"/>
      <w:bookmarkStart w:id="609" w:name="Tc_syUuGiQhh0-RzHdc9Kt0gg_19_0"/>
      <w:bookmarkStart w:id="610" w:name="Tc_TARU7_n7qEiYRe8lav4KPA_18_18"/>
      <w:bookmarkStart w:id="611" w:name="Tc_7vFwIFjWMEqmxCZ95Np6nQ_18_15"/>
      <w:bookmarkStart w:id="612" w:name="Tc_6VW2o3duCECP8c_KdsGH_g_18_12"/>
      <w:bookmarkStart w:id="613" w:name="Tc_jABKdRRpJ0mA3t2RGmI-bA_18_9"/>
      <w:bookmarkStart w:id="614" w:name="Tc_QXG_57HFbEefEmj6XnXAfw_18_6"/>
      <w:bookmarkStart w:id="615" w:name="Tc_ENOK3ezXUEKhBxbJLaREgw_18_3"/>
      <w:bookmarkStart w:id="616" w:name="Tc_0_4ZWeJz30ycM0UjaVMJlg_18_0"/>
      <w:bookmarkStart w:id="617" w:name="Tc_Kfrt5mITVEi0qfA4-heYkg_17_15"/>
      <w:bookmarkStart w:id="618" w:name="Tc_QxMRT8dX6Uigz6xDkHMU6g_17_12"/>
      <w:bookmarkStart w:id="619" w:name="Tc_35Wy_5uD4k2zRLyB9d0kZw_17_9"/>
      <w:bookmarkStart w:id="620" w:name="Tc_3wZFJi_iwU2arnauRawTEQ_17_3"/>
      <w:bookmarkStart w:id="621" w:name="Tc_RoknArnGzkaEIKEA4BIgcg_17_0"/>
      <w:bookmarkStart w:id="622" w:name="Tc_a-9jVjOQ2EGkyRgNtjFZVw_16_21"/>
      <w:bookmarkStart w:id="623" w:name="Tc_BRvJy-BPZkehvwh_V8_N_A_16_15"/>
      <w:bookmarkStart w:id="624" w:name="Tc_ewPlYHPBDE2W27AAG4I2uw_16_12"/>
      <w:bookmarkStart w:id="625" w:name="Tc_DzzfR-wc5kqHBHS1peNfCg_16_6"/>
      <w:bookmarkStart w:id="626" w:name="Tc_devbpW3oqkGEc87snuRmWw_16_3"/>
      <w:bookmarkStart w:id="627" w:name="Tc_DtthkiLwYUqlu_wD8Ok5IA_16_0"/>
      <w:bookmarkStart w:id="628" w:name="Tc_4l8KuMuLwkS8QjeqC4YehQ_15_15"/>
      <w:bookmarkStart w:id="629" w:name="Tc_Ibq3DLS7m0CL7Z6ME9YjMQ_15_9"/>
      <w:bookmarkStart w:id="630" w:name="Tc_3hwl2VX7qUKRqmhHXj1p-Q_15_6"/>
      <w:bookmarkStart w:id="631" w:name="Tc__gBS6PWtIUOCalhO2xFnRw_15_3"/>
      <w:bookmarkStart w:id="632" w:name="Tc_u7nAaKnkSE2DkN5t05QhMw_15_0"/>
      <w:bookmarkStart w:id="633" w:name="Tc_sccME4hiQEu_2wpJlftK3g_14_15"/>
      <w:bookmarkStart w:id="634" w:name="Tc__jqqbZCKH0il-pmgph1GEQ_14_12"/>
      <w:bookmarkStart w:id="635" w:name="Tc_mCWk6eCFyUyaBVcQdX-oFw_14_6"/>
      <w:bookmarkStart w:id="636" w:name="Tc_bvHKxArbQkm4IfDlp_Mbrw_14_3"/>
      <w:bookmarkStart w:id="637" w:name="Tc_QWcer7sJD0WY3C7MWlMITg_14_0"/>
      <w:bookmarkStart w:id="638" w:name="Tc_mD915flIekyNV3L7AzfAdw_13_6"/>
      <w:bookmarkStart w:id="639" w:name="Tc_5ObPy1H2DU2KGQ0L9hYuYQ_13_0"/>
      <w:bookmarkStart w:id="640" w:name="Tc_zoqY2ZAMpkKAF8a3WB_vYg_12_21"/>
      <w:bookmarkStart w:id="641" w:name="Tc_IV3-JuBrRkmQCPIqOk8WwQ_12_12"/>
      <w:bookmarkStart w:id="642" w:name="Tc_On1N8DZkgEugApKphDjCcw_12_6"/>
      <w:bookmarkStart w:id="643" w:name="Tc_dDP8ipRAzUOH3aCB9vURSQ_12_3"/>
      <w:bookmarkStart w:id="644" w:name="Tc_qZxr0iG-BUGzTz8Oz97Hag_12_0"/>
      <w:bookmarkStart w:id="645" w:name="Tc_OZVnSmIbPkOz_WWpWgw33g_11_21"/>
      <w:bookmarkStart w:id="646" w:name="Tc_LOckkDMTYE6Bku861BR3qA_11_12"/>
      <w:bookmarkStart w:id="647" w:name="Tc_cOkKfOD4RkmchbJmdxqqSg_11_6"/>
      <w:bookmarkStart w:id="648" w:name="Tc_qHQwDo3XyUaM2zpHSSRF2w_11_3"/>
      <w:bookmarkStart w:id="649" w:name="Tc_vbBaJolbcUW2TtYfm_w76Q_11_0"/>
      <w:bookmarkStart w:id="650" w:name="Tc_xLDQdGkfIE28Hbn1qhziEw_10_18"/>
      <w:bookmarkStart w:id="651" w:name="Tc_4cZkdVBVTEamXT_RJfFfBg_10_15"/>
      <w:bookmarkStart w:id="652" w:name="Tc_LZB_LfCaPEe2YwnrQW-T1A_10_12"/>
      <w:bookmarkStart w:id="653" w:name="Tc_OrftZFc18E20Cmq2Wgmh0w_10_9"/>
      <w:bookmarkStart w:id="654" w:name="Tc_N1is0PwbNUaNpYhRJNYGWw_10_6"/>
      <w:bookmarkStart w:id="655" w:name="Tc_yfCHCdmLA0Ci2cTP1EO4bA_10_3"/>
      <w:bookmarkStart w:id="656" w:name="Tc_GNb2Xe5yBEG-y_IyDw_yMw_10_0"/>
      <w:bookmarkStart w:id="657" w:name="Tc_4OE7Ts1FwUGEfnd_uF0XAg_9_12"/>
      <w:bookmarkStart w:id="658" w:name="Tc_QWR7l6RXDEm0fJV58ZScnQ_9_6"/>
      <w:bookmarkStart w:id="659" w:name="Tc_v74PdQDFZEmI7MKyadjvCQ_9_3"/>
      <w:bookmarkStart w:id="660" w:name="Tc_xtacdZSb1E65OfS9fe4hYA_9_0"/>
      <w:bookmarkStart w:id="661" w:name="Tc_Pqf-67cveEqEuHfFq2j4jQ_8_21"/>
      <w:bookmarkStart w:id="662" w:name="Tc_-3YevQUMTkSpXOWDbKkeeg_8_15"/>
      <w:bookmarkStart w:id="663" w:name="Tc_8s3pSOkDD0up0HwzGyEIhg_8_12"/>
      <w:bookmarkStart w:id="664" w:name="Tc_xFIlW0bfv0yROY34iuoKgQ_8_6"/>
      <w:bookmarkStart w:id="665" w:name="Tc_-DH33PrkmkOkrqsKZst0cg_8_3"/>
      <w:bookmarkStart w:id="666" w:name="Tc_5p0Z1Yyoakm6dpoiG4fVFQ_8_0"/>
      <w:bookmarkStart w:id="667" w:name="Tc_KnNpUNWfBUiM_0LZytbaTA_7_15"/>
      <w:bookmarkStart w:id="668" w:name="Tc__uPfMmpZl0ajUjwtC3DdKw_7_9"/>
      <w:bookmarkStart w:id="669" w:name="Tc_MiO5cTFRPE27l9Jb55p7gg_7_6"/>
      <w:bookmarkStart w:id="670" w:name="Tc_3Q0xD6R7PEuqPoBbDPWjig_7_3"/>
      <w:bookmarkStart w:id="671" w:name="Tc_TMmUjEa0p0uuSyeJk6zPZA_7_0"/>
      <w:bookmarkStart w:id="672" w:name="Tc_Ks1dUL9uMkaqj50_LMt5pw_6_15"/>
      <w:bookmarkStart w:id="673" w:name="Tc_d6epYN6cdkKyK78VAcjT_Q_6_12"/>
      <w:bookmarkStart w:id="674" w:name="Tc_fJKr9tg7C0mqfzYvaElLEA_6_6"/>
      <w:bookmarkStart w:id="675" w:name="Tc_CpKri7VxQ0GaS9XLNLBT3g_6_3"/>
      <w:bookmarkStart w:id="676" w:name="Tc_mFdpVBrfFECBQg1dWtrpAA_6_0"/>
      <w:bookmarkStart w:id="677" w:name="Tc_CO59frky5kKdUA9Y5RdV3A_5_20"/>
      <w:bookmarkStart w:id="678" w:name="Tc_hpfRBQ_l5U-XiOOcrSlZ6A_5_17"/>
      <w:bookmarkStart w:id="679" w:name="Tc_P52jAmhGW0mZCeXZ-26Hhg_5_14"/>
      <w:bookmarkStart w:id="680" w:name="Tc_QuNypGtGm02_Dp_Cz_6Dsg_5_11"/>
      <w:bookmarkStart w:id="681" w:name="Tc_Hgd_pE2nYUmtks9eWXwq5g_5_8"/>
      <w:bookmarkStart w:id="682" w:name="Tc_o8y9Ahln5k2HI-KZ4m2T8Q_5_6"/>
      <w:bookmarkStart w:id="683" w:name="Tc_1bmDT34sLUSRCcg4E4U26Q_5_5"/>
      <w:bookmarkStart w:id="684" w:name="Tc_HiVnVPgZe0ycz84do7dheg_5_2"/>
      <w:bookmarkStart w:id="685" w:name="Tc_8B6_LnLDg0CtEF61e-gmrg_5_0"/>
      <w:bookmarkStart w:id="686" w:name="Tc_0SoTuyfz7EirmLuMb4VADA_4_20"/>
      <w:bookmarkStart w:id="687" w:name="Tc_KDyrQ-fWaEile77qstXLVQ_4_17"/>
      <w:bookmarkStart w:id="688" w:name="Tc_PXhfWaEjWkKjZChmKPoXJw_4_14"/>
      <w:bookmarkStart w:id="689" w:name="Tc_vVg4cOy47EGd2sDkhrCykg_4_11"/>
      <w:bookmarkStart w:id="690" w:name="Tc_-sF42NLW3ECr1IBazM-E5g_4_8"/>
      <w:bookmarkStart w:id="691" w:name="Tc_l3LpSUWgWkSoW2bZdZ4dIg_4_5"/>
      <w:bookmarkStart w:id="692" w:name="Tc_1EcmoYJ2Nky_2Kkz5ieTUQ_4_2"/>
      <w:bookmarkStart w:id="693" w:name="Tc_Imbvj5dsukOQjQ3dnCb9DQ_3_20"/>
      <w:bookmarkStart w:id="694" w:name="Tc_Yxk0jS6HTEq2xp6HqYPe9Q_3_17"/>
      <w:bookmarkStart w:id="695" w:name="Tc_moa5eMCzWUO59KCFLxwDXg_3_14"/>
      <w:bookmarkStart w:id="696" w:name="Tc_eYm1P45SukmbyMhuKqkN7Q_3_11"/>
      <w:bookmarkStart w:id="697" w:name="Tc_q02eOqVNOkC3iRXC76WDKw_3_8"/>
      <w:bookmarkStart w:id="698" w:name="Tc_bTE1O_sUtUmM-VMq-dCvhA_3_5"/>
      <w:bookmarkStart w:id="699" w:name="Tc_c4-VOMX99kqB4pdt5yaawg_3_2"/>
      <w:bookmarkStart w:id="700" w:name="Tc_f87cuSd7VEqQIOlwC6mcSQ_2_20"/>
      <w:bookmarkStart w:id="701" w:name="Tc_S_d2I_uxbEaxAowUhBMqQg_2_17"/>
      <w:bookmarkStart w:id="702" w:name="Tc_pn_jSDUJc0SJsv1fsUEbIQ_2_11"/>
      <w:bookmarkStart w:id="703" w:name="Tc_N1dSrPeb_kSmJbMqzArJaw_2_5"/>
      <w:bookmarkStart w:id="704" w:name="Tc_DhyUmbDlFkm_nHBbuwVHvw_1_11"/>
      <w:bookmarkStart w:id="705" w:name="_31cb2ae8_f5a9_4403_97e0_e27a710f83ef"/>
      <w:bookmarkStart w:id="706" w:name="Tc_pAUHFhZU6kKAelU_MbQs4w_32_20"/>
      <w:bookmarkStart w:id="707" w:name="Tc_gk_C6Fpgjk6dKz0nSWiUHw_32_17"/>
      <w:bookmarkStart w:id="708" w:name="Tc_06zqM__L5km6i11R1U_vZA_32_14"/>
      <w:bookmarkStart w:id="709" w:name="Tc_c7ZNec26VUmbcKi860uybg_32_11"/>
      <w:bookmarkStart w:id="710" w:name="Tc_u0XBUi6PykaTIuwDXHy0gg_32_8"/>
      <w:bookmarkStart w:id="711" w:name="Tc_30HAhiuaxUK4ch64SItMlg_32_6"/>
      <w:bookmarkStart w:id="712" w:name="Tc_ajwBrsMa5EuzLMdwdydIXw_32_5"/>
      <w:bookmarkStart w:id="713" w:name="Tc_I4lAVSC0UUiKKoGqJtDYDQ_32_2"/>
      <w:bookmarkStart w:id="714" w:name="Tc_lcag2c-GeEmaw7_XayH1DA_32_0"/>
      <w:bookmarkStart w:id="715" w:name="Tc_Jn6DMQbct0KV1MLBe_F9gA_31_21"/>
      <w:bookmarkStart w:id="716" w:name="Tc_NBaZEca1bEO2LDvks-CNeA_31_12"/>
      <w:bookmarkStart w:id="717" w:name="Tc_EeW2-6Xda0O_OCSBavxXXA_31_6"/>
      <w:bookmarkStart w:id="718" w:name="Tc_Mi0MxnCE1kybOe_x2eARIw_31_3"/>
      <w:bookmarkStart w:id="719" w:name="Tc_cJzVT1wWdUefXkXHrWIwwQ_31_0"/>
      <w:bookmarkStart w:id="720" w:name="Tc_mTVywmRyo0Ot83d-Hk2VhA_30_21"/>
      <w:bookmarkStart w:id="721" w:name="Tc_cnjSZccMSUeqJ9oyZ9gMig_30_12"/>
      <w:bookmarkStart w:id="722" w:name="Tc_Uv0KZ1HLCU6WL87QbYNYzQ_30_9"/>
      <w:bookmarkStart w:id="723" w:name="Tc_qGVpY4Rpv0yenZ2CT7OK7Q_30_6"/>
      <w:bookmarkStart w:id="724" w:name="Tc_TZ_vrfUf90q-_9nkBgGgPA_30_3"/>
      <w:bookmarkStart w:id="725" w:name="Tc_mAhFwtcBC0qCdfFR_ichhA_30_0"/>
      <w:bookmarkStart w:id="726" w:name="Tc_vqdmw0E-oEKfTXIhkFE2Ww_29_18"/>
      <w:bookmarkStart w:id="727" w:name="Tc_R6SOn42oQkqJK1O6UhIOZg_29_15"/>
      <w:bookmarkStart w:id="728" w:name="Tc_L1NneozyhUOTD7op-_3RkQ_29_12"/>
      <w:bookmarkStart w:id="729" w:name="Tc_jBRKwkmdXkyuo0_xGxjeTw_29_9"/>
      <w:bookmarkStart w:id="730" w:name="Tc_e3_0wIEM4UagltLoKhpe6A_29_6"/>
      <w:bookmarkStart w:id="731" w:name="Tc_ay0a7QSa3063_S-DGCXzfw_29_3"/>
      <w:bookmarkStart w:id="732" w:name="Tc_T4pT9NCYA0qSBbvpm3OqXQ_29_0"/>
      <w:bookmarkStart w:id="733" w:name="Tc_JPbZ69HlhEmd_y7bv2o2Yg_28_15"/>
      <w:bookmarkStart w:id="734" w:name="Tc_FMhh2KTrtEiH2IGSdFup0A_28_12"/>
      <w:bookmarkStart w:id="735" w:name="Tc_Cpfjhz41ukaMx7D-dO5qGQ_28_6"/>
      <w:bookmarkStart w:id="736" w:name="Tc_rPhczujpkEql4pgp24cUCg_28_3"/>
      <w:bookmarkStart w:id="737" w:name="Tc_nt20wQgDkUy0iGsBC2c0hg_28_0"/>
      <w:bookmarkStart w:id="738" w:name="Tc_aizcw9sZFUCzfpdm1zaxzw_27_15"/>
      <w:bookmarkStart w:id="739" w:name="Tc_w1YAM6kt60iCLQ88MqNTUw_27_12"/>
      <w:bookmarkStart w:id="740" w:name="Tc_aZ2ILa7SNEKPjBMlqQGp5w_27_6"/>
      <w:bookmarkStart w:id="741" w:name="Tc_Ofyl6GiAK0qnkV8Ed1P_RA_27_3"/>
      <w:bookmarkStart w:id="742" w:name="Tc__8jQutNK7kKS2mgrIsLPqg_27_0"/>
      <w:bookmarkStart w:id="743" w:name="Tc_0vIKIyvfNUqL1BqVZtyUoQ_26_15"/>
      <w:bookmarkStart w:id="744" w:name="Tc_T-nCxnlza0y8cNZcsrPEcA_26_12"/>
      <w:bookmarkStart w:id="745" w:name="Tc_bXrVDWMpxk6BPzjHTcujAg_26_6"/>
      <w:bookmarkStart w:id="746" w:name="Tc_X9X6XoobgkuWbEtr5YZ4Nw_26_3"/>
      <w:bookmarkStart w:id="747" w:name="Tc_vbWB0CPtx0mi5T1Cmd5dEg_26_0"/>
      <w:bookmarkStart w:id="748" w:name="Tc_QLG0DZrkHEaaHrtoofeKVA_25_21"/>
      <w:bookmarkStart w:id="749" w:name="Tc_L9-PLoWZyUSAX-MpulgSeA_25_15"/>
      <w:bookmarkStart w:id="750" w:name="Tc_KxrwHwNU90uME-1S-rd8FQ_25_12"/>
      <w:bookmarkStart w:id="751" w:name="Tc_YroiUMEWWEW0-BHytdAHJA_25_6"/>
      <w:bookmarkStart w:id="752" w:name="Tc_j86Vj_osYEGLaqMaL-QCnQ_25_3"/>
      <w:bookmarkStart w:id="753" w:name="Tc_3wu7THrgWEChA1ijmRhcYg_25_0"/>
      <w:bookmarkStart w:id="754" w:name="Tc_9HFFdmrQLkupuqDhDpYrxg_24_15"/>
      <w:bookmarkStart w:id="755" w:name="Tc_yWYf4ri8uEaThGjUG7MLOA_24_9"/>
      <w:bookmarkStart w:id="756" w:name="Tc_4EVqT7eWJE6SDMyrxCHKCg_24_6"/>
      <w:bookmarkStart w:id="757" w:name="Tc_bqp6g-s_XUaZ8uVQ8i8EXQ_24_3"/>
      <w:bookmarkStart w:id="758" w:name="Tc_tffoUGqmx02uSmju0RABbA_24_0"/>
      <w:bookmarkStart w:id="759" w:name="Tc_u0DTJagftU6kGb5uCAJVqw_23_15"/>
      <w:bookmarkStart w:id="760" w:name="Tc_ISPdFNUX_0OxtvcJMfJpGA_23_12"/>
      <w:bookmarkStart w:id="761" w:name="Tc_KNxBawbCw0OlWo09QIwDzA_23_6"/>
      <w:bookmarkStart w:id="762" w:name="Tc_i1Mi1Dpn0EeZdmp-WaSPgw_23_3"/>
      <w:bookmarkStart w:id="763" w:name="Tc_Q-MuSGv1qE6W2SwJqG2g2Q_23_0"/>
      <w:bookmarkStart w:id="764" w:name="Tc_TbfqfHDpK0uxBgnW2YxjcQ_22_6"/>
      <w:bookmarkStart w:id="765" w:name="Tc_yVKuNN1H20qRN0E7HVLgxA_22_0"/>
      <w:bookmarkStart w:id="766" w:name="Tc_--wzE9Vv0kSrAFsMAR-b4A_21_21"/>
      <w:bookmarkStart w:id="767" w:name="Tc_73lG_GwPIEmBZEAHTD_Y2g_21_12"/>
      <w:bookmarkStart w:id="768" w:name="Tc_6AwTEwPt1EOIiiDmNcFVYw_21_3"/>
      <w:bookmarkStart w:id="769" w:name="Tc_NuRQJtS0UU2OiO6LMJZmag_21_0"/>
      <w:bookmarkStart w:id="770" w:name="Tc_K0FaTl64b0WCVMQ3KM3ZYw_20_21"/>
      <w:bookmarkStart w:id="771" w:name="Tc_KuReR0IMB0SqPdrA78AVSQ_20_12"/>
      <w:bookmarkStart w:id="772" w:name="Tc_XafUUPxRUEGk3u30IGNdvQ_20_9"/>
      <w:bookmarkStart w:id="773" w:name="Tc_iAt6FOUhKkK0wxaY3fQOag_20_3"/>
      <w:bookmarkStart w:id="774" w:name="Tc_CMKGKsx57kqjfWkluIQSmQ_20_0"/>
      <w:bookmarkStart w:id="775" w:name="Tc_BpBQGIzuVUCD9gdLu7K5yg_19_15"/>
      <w:bookmarkStart w:id="776" w:name="Tc_d9H6XDf4skK3oemGDVyj7A_19_12"/>
      <w:bookmarkStart w:id="777" w:name="Tc_YFcXj4IqlEaxvlFHRsFVSA_19_6"/>
      <w:bookmarkStart w:id="778" w:name="Tc_PWAzbE0Y50WVKG3WNpGHfQ_19_3"/>
      <w:bookmarkStart w:id="779" w:name="Tc_syUuGiQhh0-RzHdc9Kt0gg_19_0"/>
      <w:bookmarkStart w:id="780" w:name="Tc_TARU7_n7qEiYRe8lav4KPA_18_18"/>
      <w:bookmarkStart w:id="781" w:name="Tc_7vFwIFjWMEqmxCZ95Np6nQ_18_15"/>
      <w:bookmarkStart w:id="782" w:name="Tc_6VW2o3duCECP8c_KdsGH_g_18_12"/>
      <w:bookmarkStart w:id="783" w:name="Tc_jABKdRRpJ0mA3t2RGmI-bA_18_9"/>
      <w:bookmarkStart w:id="784" w:name="Tc_QXG_57HFbEefEmj6XnXAfw_18_6"/>
      <w:bookmarkStart w:id="785" w:name="Tc_ENOK3ezXUEKhBxbJLaREgw_18_3"/>
      <w:bookmarkStart w:id="786" w:name="Tc_0_4ZWeJz30ycM0UjaVMJlg_18_0"/>
      <w:bookmarkStart w:id="787" w:name="Tc_Kfrt5mITVEi0qfA4-heYkg_17_15"/>
      <w:bookmarkStart w:id="788" w:name="Tc_QxMRT8dX6Uigz6xDkHMU6g_17_12"/>
      <w:bookmarkStart w:id="789" w:name="Tc_35Wy_5uD4k2zRLyB9d0kZw_17_9"/>
      <w:bookmarkStart w:id="790" w:name="Tc_3wZFJi_iwU2arnauRawTEQ_17_3"/>
      <w:bookmarkStart w:id="791" w:name="Tc_RoknArnGzkaEIKEA4BIgcg_17_0"/>
      <w:bookmarkStart w:id="792" w:name="Tc_a-9jVjOQ2EGkyRgNtjFZVw_16_21"/>
      <w:bookmarkStart w:id="793" w:name="Tc_BRvJy-BPZkehvwh_V8_N_A_16_15"/>
      <w:bookmarkStart w:id="794" w:name="Tc_ewPlYHPBDE2W27AAG4I2uw_16_12"/>
      <w:bookmarkStart w:id="795" w:name="Tc_DzzfR-wc5kqHBHS1peNfCg_16_6"/>
      <w:bookmarkStart w:id="796" w:name="Tc_devbpW3oqkGEc87snuRmWw_16_3"/>
      <w:bookmarkStart w:id="797" w:name="Tc_DtthkiLwYUqlu_wD8Ok5IA_16_0"/>
      <w:bookmarkStart w:id="798" w:name="Tc_4l8KuMuLwkS8QjeqC4YehQ_15_15"/>
      <w:bookmarkStart w:id="799" w:name="Tc_Ibq3DLS7m0CL7Z6ME9YjMQ_15_9"/>
      <w:bookmarkStart w:id="800" w:name="Tc_3hwl2VX7qUKRqmhHXj1p-Q_15_6"/>
      <w:bookmarkStart w:id="801" w:name="Tc__gBS6PWtIUOCalhO2xFnRw_15_3"/>
      <w:bookmarkStart w:id="802" w:name="Tc_u7nAaKnkSE2DkN5t05QhMw_15_0"/>
      <w:bookmarkStart w:id="803" w:name="Tc_sccME4hiQEu_2wpJlftK3g_14_15"/>
      <w:bookmarkStart w:id="804" w:name="Tc__jqqbZCKH0il-pmgph1GEQ_14_12"/>
      <w:bookmarkStart w:id="805" w:name="Tc_mCWk6eCFyUyaBVcQdX-oFw_14_6"/>
      <w:bookmarkStart w:id="806" w:name="Tc_bvHKxArbQkm4IfDlp_Mbrw_14_3"/>
      <w:bookmarkStart w:id="807" w:name="Tc_QWcer7sJD0WY3C7MWlMITg_14_0"/>
      <w:bookmarkStart w:id="808" w:name="Tc_mD915flIekyNV3L7AzfAdw_13_6"/>
      <w:bookmarkStart w:id="809" w:name="Tc_5ObPy1H2DU2KGQ0L9hYuYQ_13_0"/>
      <w:bookmarkStart w:id="810" w:name="Tc_zoqY2ZAMpkKAF8a3WB_vYg_12_21"/>
      <w:bookmarkStart w:id="811" w:name="Tc_IV3-JuBrRkmQCPIqOk8WwQ_12_12"/>
      <w:bookmarkStart w:id="812" w:name="Tc_On1N8DZkgEugApKphDjCcw_12_6"/>
      <w:bookmarkStart w:id="813" w:name="Tc_dDP8ipRAzUOH3aCB9vURSQ_12_3"/>
      <w:bookmarkStart w:id="814" w:name="Tc_qZxr0iG-BUGzTz8Oz97Hag_12_0"/>
      <w:bookmarkStart w:id="815" w:name="Tc_OZVnSmIbPkOz_WWpWgw33g_11_21"/>
      <w:bookmarkStart w:id="816" w:name="Tc_LOckkDMTYE6Bku861BR3qA_11_12"/>
      <w:bookmarkStart w:id="817" w:name="Tc_cOkKfOD4RkmchbJmdxqqSg_11_6"/>
      <w:bookmarkStart w:id="818" w:name="Tc_qHQwDo3XyUaM2zpHSSRF2w_11_3"/>
      <w:bookmarkStart w:id="819" w:name="Tc_vbBaJolbcUW2TtYfm_w76Q_11_0"/>
      <w:bookmarkStart w:id="820" w:name="Tc_xLDQdGkfIE28Hbn1qhziEw_10_18"/>
      <w:bookmarkStart w:id="821" w:name="Tc_4cZkdVBVTEamXT_RJfFfBg_10_15"/>
      <w:bookmarkStart w:id="822" w:name="Tc_LZB_LfCaPEe2YwnrQW-T1A_10_12"/>
      <w:bookmarkStart w:id="823" w:name="Tc_OrftZFc18E20Cmq2Wgmh0w_10_9"/>
      <w:bookmarkStart w:id="824" w:name="Tc_N1is0PwbNUaNpYhRJNYGWw_10_6"/>
      <w:bookmarkStart w:id="825" w:name="Tc_yfCHCdmLA0Ci2cTP1EO4bA_10_3"/>
      <w:bookmarkStart w:id="826" w:name="Tc_GNb2Xe5yBEG-y_IyDw_yMw_10_0"/>
      <w:bookmarkStart w:id="827" w:name="Tc_4OE7Ts1FwUGEfnd_uF0XAg_9_12"/>
      <w:bookmarkStart w:id="828" w:name="Tc_QWR7l6RXDEm0fJV58ZScnQ_9_6"/>
      <w:bookmarkStart w:id="829" w:name="Tc_v74PdQDFZEmI7MKyadjvCQ_9_3"/>
      <w:bookmarkStart w:id="830" w:name="Tc_xtacdZSb1E65OfS9fe4hYA_9_0"/>
      <w:bookmarkStart w:id="831" w:name="Tc_Pqf-67cveEqEuHfFq2j4jQ_8_21"/>
      <w:bookmarkStart w:id="832" w:name="Tc_-3YevQUMTkSpXOWDbKkeeg_8_15"/>
      <w:bookmarkStart w:id="833" w:name="Tc_8s3pSOkDD0up0HwzGyEIhg_8_12"/>
      <w:bookmarkStart w:id="834" w:name="Tc_xFIlW0bfv0yROY34iuoKgQ_8_6"/>
      <w:bookmarkStart w:id="835" w:name="Tc_-DH33PrkmkOkrqsKZst0cg_8_3"/>
      <w:bookmarkStart w:id="836" w:name="Tc_5p0Z1Yyoakm6dpoiG4fVFQ_8_0"/>
      <w:bookmarkStart w:id="837" w:name="Tc_KnNpUNWfBUiM_0LZytbaTA_7_15"/>
      <w:bookmarkStart w:id="838" w:name="Tc__uPfMmpZl0ajUjwtC3DdKw_7_9"/>
      <w:bookmarkStart w:id="839" w:name="Tc_MiO5cTFRPE27l9Jb55p7gg_7_6"/>
      <w:bookmarkStart w:id="840" w:name="Tc_3Q0xD6R7PEuqPoBbDPWjig_7_3"/>
      <w:bookmarkStart w:id="841" w:name="Tc_TMmUjEa0p0uuSyeJk6zPZA_7_0"/>
      <w:bookmarkStart w:id="842" w:name="Tc_Ks1dUL9uMkaqj50_LMt5pw_6_15"/>
      <w:bookmarkStart w:id="843" w:name="Tc_d6epYN6cdkKyK78VAcjT_Q_6_12"/>
      <w:bookmarkStart w:id="844" w:name="Tc_fJKr9tg7C0mqfzYvaElLEA_6_6"/>
      <w:bookmarkStart w:id="845" w:name="Tc_CpKri7VxQ0GaS9XLNLBT3g_6_3"/>
      <w:bookmarkStart w:id="846" w:name="Tc_mFdpVBrfFECBQg1dWtrpAA_6_0"/>
      <w:bookmarkStart w:id="847" w:name="Tc_CO59frky5kKdUA9Y5RdV3A_5_20"/>
      <w:bookmarkStart w:id="848" w:name="Tc_hpfRBQ_l5U-XiOOcrSlZ6A_5_17"/>
      <w:bookmarkStart w:id="849" w:name="Tc_P52jAmhGW0mZCeXZ-26Hhg_5_14"/>
      <w:bookmarkStart w:id="850" w:name="Tc_QuNypGtGm02_Dp_Cz_6Dsg_5_11"/>
      <w:bookmarkStart w:id="851" w:name="Tc_Hgd_pE2nYUmtks9eWXwq5g_5_8"/>
      <w:bookmarkStart w:id="852" w:name="Tc_o8y9Ahln5k2HI-KZ4m2T8Q_5_6"/>
      <w:bookmarkStart w:id="853" w:name="Tc_1bmDT34sLUSRCcg4E4U26Q_5_5"/>
      <w:bookmarkStart w:id="854" w:name="Tc_HiVnVPgZe0ycz84do7dheg_5_2"/>
      <w:bookmarkStart w:id="855" w:name="Tc_8B6_LnLDg0CtEF61e-gmrg_5_0"/>
      <w:bookmarkStart w:id="856" w:name="Tc_0SoTuyfz7EirmLuMb4VADA_4_20"/>
      <w:bookmarkStart w:id="857" w:name="Tc_KDyrQ-fWaEile77qstXLVQ_4_17"/>
      <w:bookmarkStart w:id="858" w:name="Tc_PXhfWaEjWkKjZChmKPoXJw_4_14"/>
      <w:bookmarkStart w:id="859" w:name="Tc_vVg4cOy47EGd2sDkhrCykg_4_11"/>
      <w:bookmarkStart w:id="860" w:name="Tc_-sF42NLW3ECr1IBazM-E5g_4_8"/>
      <w:bookmarkStart w:id="861" w:name="Tc_l3LpSUWgWkSoW2bZdZ4dIg_4_5"/>
      <w:bookmarkStart w:id="862" w:name="Tc_1EcmoYJ2Nky_2Kkz5ieTUQ_4_2"/>
      <w:bookmarkStart w:id="863" w:name="Tc_Imbvj5dsukOQjQ3dnCb9DQ_3_20"/>
      <w:bookmarkStart w:id="864" w:name="Tc_Yxk0jS6HTEq2xp6HqYPe9Q_3_17"/>
      <w:bookmarkStart w:id="865" w:name="Tc_moa5eMCzWUO59KCFLxwDXg_3_14"/>
      <w:bookmarkStart w:id="866" w:name="Tc_eYm1P45SukmbyMhuKqkN7Q_3_11"/>
      <w:bookmarkStart w:id="867" w:name="Tc_q02eOqVNOkC3iRXC76WDKw_3_8"/>
      <w:bookmarkStart w:id="868" w:name="Tc_bTE1O_sUtUmM-VMq-dCvhA_3_5"/>
      <w:bookmarkStart w:id="869" w:name="Tc_c4-VOMX99kqB4pdt5yaawg_3_2"/>
      <w:bookmarkStart w:id="870" w:name="Tc_f87cuSd7VEqQIOlwC6mcSQ_2_20"/>
      <w:bookmarkStart w:id="871" w:name="Tc_S_d2I_uxbEaxAowUhBMqQg_2_17"/>
      <w:bookmarkStart w:id="872" w:name="Tc_pn_jSDUJc0SJsv1fsUEbIQ_2_11"/>
      <w:bookmarkStart w:id="873" w:name="Tc_N1dSrPeb_kSmJbMqzArJaw_2_5"/>
      <w:bookmarkStart w:id="874" w:name="Tc_DhyUmbDlFkm_nHBbuwVHvw_1_11"/>
      <w:bookmarkStart w:id="875" w:name="_31cb2ae8_f5a9_4403_97e0_e27a710f83ef"/>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tbl>
      <w:tblPr>
        <w:tblW w:w="10205" w:type="dxa"/>
        <w:jc w:val="left"/>
        <w:tblInd w:w="0" w:type="dxa"/>
        <w:tblLayout w:type="fixed"/>
        <w:tblCellMar>
          <w:top w:w="0" w:type="dxa"/>
          <w:left w:w="0" w:type="dxa"/>
          <w:bottom w:w="0" w:type="dxa"/>
          <w:right w:w="0" w:type="dxa"/>
        </w:tblCellMar>
      </w:tblPr>
      <w:tblGrid>
        <w:gridCol w:w="2055"/>
        <w:gridCol w:w="109"/>
        <w:gridCol w:w="181"/>
        <w:gridCol w:w="511"/>
        <w:gridCol w:w="346"/>
        <w:gridCol w:w="181"/>
        <w:gridCol w:w="580"/>
        <w:gridCol w:w="346"/>
        <w:gridCol w:w="181"/>
        <w:gridCol w:w="691"/>
        <w:gridCol w:w="346"/>
        <w:gridCol w:w="220"/>
        <w:gridCol w:w="771"/>
        <w:gridCol w:w="346"/>
        <w:gridCol w:w="181"/>
        <w:gridCol w:w="751"/>
        <w:gridCol w:w="346"/>
        <w:gridCol w:w="186"/>
        <w:gridCol w:w="715"/>
        <w:gridCol w:w="109"/>
        <w:gridCol w:w="243"/>
        <w:gridCol w:w="810"/>
      </w:tblGrid>
      <w:tr>
        <w:trPr/>
        <w:tc>
          <w:tcPr>
            <w:tcW w:w="2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r>
      <w:tr>
        <w:trPr/>
        <w:tc>
          <w:tcPr>
            <w:tcW w:w="2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r>
      <w:tr>
        <w:trPr/>
        <w:tc>
          <w:tcPr>
            <w:tcW w:w="2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left"/>
              <w:rPr/>
            </w:pPr>
            <w:r>
              <w:rPr/>
              <w:t>​</w:t>
            </w:r>
          </w:p>
        </w:tc>
        <w:tc>
          <w:tcPr>
            <w:tcW w:w="1053"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Redeemable</w:t>
            </w:r>
          </w:p>
        </w:tc>
      </w:tr>
      <w:tr>
        <w:trPr/>
        <w:tc>
          <w:tcPr>
            <w:tcW w:w="2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0"/>
              <w:ind w:left="0" w:right="0" w:hanging="0"/>
              <w:jc w:val="left"/>
              <w:rPr/>
            </w:pPr>
            <w:r>
              <w:rPr/>
              <w:t>​</w:t>
            </w:r>
          </w:p>
        </w:tc>
        <w:tc>
          <w:tcPr>
            <w:tcW w:w="7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109" w:type="dxa"/>
            <w:tcBorders/>
            <w:vAlign w:val="center"/>
          </w:tcPr>
          <w:p>
            <w:pPr>
              <w:pStyle w:val="TableContents"/>
              <w:bidi w:val="0"/>
              <w:spacing w:before="0" w:after="0"/>
              <w:ind w:left="0" w:right="0" w:hanging="0"/>
              <w:jc w:val="left"/>
              <w:rPr/>
            </w:pPr>
            <w:r>
              <w:rPr/>
              <w:t>​</w:t>
            </w:r>
          </w:p>
        </w:tc>
        <w:tc>
          <w:tcPr>
            <w:tcW w:w="1053"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r>
      <w:tr>
        <w:trPr/>
        <w:tc>
          <w:tcPr>
            <w:tcW w:w="2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w:t>
            </w:r>
          </w:p>
        </w:tc>
        <w:tc>
          <w:tcPr>
            <w:tcW w:w="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left"/>
              <w:rPr/>
            </w:pPr>
            <w:r>
              <w:rPr/>
              <w:t>​</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2,593,039</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(274,909)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(765,183)</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1,580,847</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60,865</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earnings (loss)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150,849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150,849</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(5,937)</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1,673</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1,152</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declared ($2.40 per share)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(49,898)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(49,898)</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redemption value of redeemable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(7,374)</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7,374</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Repurchases of common stock; 1,282,706 shares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(318,121)</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(348,121)</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(13,010)</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39,314</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26,304</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30, 2023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2,643,606</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(273,236)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(1,043,990)</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1,354,280</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62,792</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earnings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348,259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348,259</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2,365</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(59,539)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(59,539)</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(676)</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declared ($2.40 per share)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(48,251)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(48,251)</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Purchases of redeemable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(17,598)</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(664)</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adjustment on redeemable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(5,300)</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5,300</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Repurchases of common stock; 339,973 shares acquired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(91,707)</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(70,633)</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41,828</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23,425</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28, 2024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2,940,838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(332,775)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(1,093,869)</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1,542,094</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51,519</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350,273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350,273</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3,415</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net of tax</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42,260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42,260</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857</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declared ($2.72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(53,740)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(53,740)</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pPr>
            <w:r>
              <w:rPr/>
              <w:t>—</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Purchases of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(43,598)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(43,598)</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(67,095)</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Fair value adjustment on redeemable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(6,011)</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6,011</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redemption value of redeemable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(15,489)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(15,489)</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15,489</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redeemable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Repurchases of common stock; 607,583 shares acquired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(200,767)</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(200,767)</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r>
      <w:tr>
        <w:trPr/>
        <w:tc>
          <w:tcPr>
            <w:tcW w:w="205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 and incentive plans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(16,038)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33,803</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17,765</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5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27, 2025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3,156,235</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(290,515)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(1,260,833)</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1,632,787</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0"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9,498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left"/>
        <w:rPr>
          <w:rFonts w:ascii="Times New Roman;Times;serif" w:hAnsi="Times New Roman;Times;serif"/>
          <w:b/>
          <w:sz w:val="20"/>
        </w:rPr>
      </w:pPr>
      <w:bookmarkStart w:id="876" w:name="Tc_ylWnKoJU2UCjCxb-fJpJoQ_6_0"/>
      <w:bookmarkStart w:id="877" w:name="Tc_ftVovAPKd06_1v4vq8EG3w_5_0"/>
      <w:bookmarkStart w:id="878" w:name="Tc_7QcUTGV680GDS3k174VONA_4_14"/>
      <w:bookmarkStart w:id="879" w:name="Tc_GU4KBg7g8Ui8XB_0_70-5g_4_11"/>
      <w:bookmarkStart w:id="880" w:name="Tc_38I2wXTFMUKznZTie2AkYg_4_8"/>
      <w:bookmarkStart w:id="881" w:name="Tc_3Si5RuiV3USPc6g9TOZ-Vg_4_5"/>
      <w:bookmarkStart w:id="882" w:name="Tc_N8VfshSE30mD-FUoH241QA_4_2"/>
      <w:bookmarkStart w:id="883" w:name="Tc_J6IYV56iLUS6E6Am0Sn9Yg_4_0"/>
      <w:bookmarkStart w:id="884" w:name="Tc_IbpYCEUbCkaFDksDvPLH_Q_3_14"/>
      <w:bookmarkStart w:id="885" w:name="Tc_2auc84YimkijoNcBBK44_w_3_11"/>
      <w:bookmarkStart w:id="886" w:name="Tc_NR65T1gQz06mPd26hqVa9w_3_8"/>
      <w:bookmarkStart w:id="887" w:name="Tc_YF7IH7e7LUy5DSX9Oz-BKw_3_5"/>
      <w:bookmarkStart w:id="888" w:name="Tc_BmLVu-lQxk-heU-7PXnCDA_3_2"/>
      <w:bookmarkStart w:id="889" w:name="Tc_UFC41-wWn0OUbXSGEXi9-g_3_0"/>
      <w:bookmarkStart w:id="890" w:name="Tc_j7y_vhP9y0uClX7L1eoC1w_2_14"/>
      <w:bookmarkStart w:id="891" w:name="Tc_dxKY3_WSp0GRmFzTAEhJbw_2_11"/>
      <w:bookmarkStart w:id="892" w:name="Tc_O6RK0EBKNkquluKP6uu9sA_2_8"/>
      <w:bookmarkStart w:id="893" w:name="Tc_QgVyz_7lAkGjDK7Pk69ylQ_2_5"/>
      <w:bookmarkStart w:id="894" w:name="Tc_-JXjvr3mLkmDJbqUdLmbMQ_2_2"/>
      <w:bookmarkStart w:id="895" w:name="Tc_r5dPsumwd0mU9sRYhNl-Sg_1_11"/>
      <w:bookmarkStart w:id="896" w:name="Tc_dDepnQgXOEO2lStjy6Wa-A_1_8"/>
      <w:bookmarkStart w:id="897" w:name="Tc_mkAq1SPB-UWAbTaf2P5AgQ_1_5"/>
      <w:bookmarkStart w:id="898" w:name="Narr_vbqZdOuYOUC4CmY5zBlRkw"/>
      <w:bookmarkStart w:id="899" w:name="a1SUMMARYOFSIGNIFICANTACCOUNTINGPOLICIES"/>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Times New Roman;Times;serif" w:hAnsi="Times New Roman;Times;serif"/>
          <w:b/>
          <w:sz w:val="20"/>
        </w:rPr>
        <w:t>(1) SUMMARY OF SIGNIFICANT ACCOUNTING POLICIES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Valmont Industries, Inc. and its controlled subsidiaries (collectively, “Valmont” or the “Company”). Investments in affiliates and joint ventures, where the Company exercises significant influence but lacks control or is not the primary beneficiary, are accounted for using the equity method. All intercompany transactions and balances have been eliminated in consolidation.</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preparing the Consolidated Financial Statements in accordance with generally accepted accounting principles, the Company’s management has made various estimates and assumptions. These estimates affect the reporting of assets and liabilities, the recognition of revenue and expenses, and the disclosure of contingent assets and liabilities. Actual results may differ from these estimates.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Fiscal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on a 52- or 53-week fiscal year, with each fiscal year ending on the last Saturday in December. Accordingly, the Company’s fiscal years ended December 27, 2025, December 28, 2024, and December 30, 2023 each consisted of 52 weeks. Certain international subsidiaries are subject to statutory requirements that require a fiscal year end of December 31 (most notably Brazil).</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Cash Book Overdrafts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cash book overdrafts totaling $19,400 and $23,492, respectively, were classified as “Accounts payable” in the Consolidated Balance Sheets. The Company’s policy is to report changes in book overdrafts as “Cash flows from operating activities” in the Consolidated Statements of Cash Flows.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Receivables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Receivables are reported in the Consolidated Balance Sheets net of any allowances for credit losses. Allowances are maintained at levels deemed appropriate based on an evaluation of outstanding receivables, considering factors such as the age of the receivables, prevailing economic conditions, and customer credit quality. As the Company’s international business has expanded, its exposure to potential losses in international markets has also increased. These exposures are particularly challenging to estimate in politically unstable regions, regions where the Company has limited experience, or regions lacking transparency in governmental credit conditions. In fiscal 2025, the Company recognized $23,832 of expected credit losses in its Brazil market given unfavorable macroeconomic factors, including high interest rates in the region, lower net farm income, and higher delinquency rates observed in the agricultural sector.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details of the balances of the allowance for credit losses and changes therein:</w:t>
      </w:r>
    </w:p>
    <w:p>
      <w:pPr>
        <w:pStyle w:val="TextBody"/>
        <w:bidi w:val="0"/>
        <w:spacing w:before="0" w:after="0"/>
        <w:ind w:left="0" w:right="0" w:hanging="0"/>
        <w:jc w:val="left"/>
        <w:rPr/>
      </w:pPr>
      <w:r>
        <w:rPr/>
        <w:t>​</w:t>
      </w:r>
    </w:p>
    <w:tbl>
      <w:tblPr>
        <w:tblW w:w="8769" w:type="dxa"/>
        <w:jc w:val="left"/>
        <w:tblInd w:w="0" w:type="dxa"/>
        <w:tblLayout w:type="fixed"/>
        <w:tblCellMar>
          <w:top w:w="0" w:type="dxa"/>
          <w:left w:w="0" w:type="dxa"/>
          <w:bottom w:w="0" w:type="dxa"/>
          <w:right w:w="0" w:type="dxa"/>
        </w:tblCellMar>
      </w:tblPr>
      <w:tblGrid>
        <w:gridCol w:w="1516"/>
        <w:gridCol w:w="346"/>
        <w:gridCol w:w="305"/>
        <w:gridCol w:w="940"/>
        <w:gridCol w:w="346"/>
        <w:gridCol w:w="240"/>
        <w:gridCol w:w="736"/>
        <w:gridCol w:w="346"/>
        <w:gridCol w:w="262"/>
        <w:gridCol w:w="774"/>
        <w:gridCol w:w="346"/>
        <w:gridCol w:w="223"/>
        <w:gridCol w:w="753"/>
        <w:gridCol w:w="346"/>
        <w:gridCol w:w="280"/>
        <w:gridCol w:w="1010"/>
      </w:tblGrid>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4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Charged to</w:t>
            </w:r>
          </w:p>
        </w:tc>
        <w:tc>
          <w:tcPr>
            <w:tcW w:w="346" w:type="dxa"/>
            <w:tcBorders/>
            <w:vAlign w:val="center"/>
          </w:tcPr>
          <w:p>
            <w:pPr>
              <w:pStyle w:val="TableContents"/>
              <w:bidi w:val="0"/>
              <w:spacing w:before="0" w:after="1"/>
              <w:ind w:left="0" w:right="0" w:hanging="0"/>
              <w:jc w:val="left"/>
              <w:rPr/>
            </w:pPr>
            <w:r>
              <w:rPr/>
              <w:t>  ​ ​ ​</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Currency</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Deductions</w:t>
            </w:r>
          </w:p>
        </w:tc>
        <w:tc>
          <w:tcPr>
            <w:tcW w:w="346" w:type="dxa"/>
            <w:tcBorders/>
            <w:vAlign w:val="center"/>
          </w:tcPr>
          <w:p>
            <w:pPr>
              <w:pStyle w:val="TableContents"/>
              <w:bidi w:val="0"/>
              <w:spacing w:before="0" w:after="1"/>
              <w:ind w:left="0" w:right="0" w:hanging="0"/>
              <w:jc w:val="left"/>
              <w:rPr/>
            </w:pPr>
            <w:r>
              <w:rPr/>
              <w:t>  ​ ​ ​</w:t>
            </w:r>
          </w:p>
        </w:tc>
        <w:tc>
          <w:tcPr>
            <w:tcW w:w="1290" w:type="dxa"/>
            <w:gridSpan w:val="2"/>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Beginning</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Profit and</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Translation</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from</w:t>
            </w:r>
          </w:p>
        </w:tc>
        <w:tc>
          <w:tcPr>
            <w:tcW w:w="346" w:type="dxa"/>
            <w:tcBorders/>
            <w:vAlign w:val="center"/>
          </w:tcPr>
          <w:p>
            <w:pPr>
              <w:pStyle w:val="TableContents"/>
              <w:bidi w:val="0"/>
              <w:spacing w:before="0" w:after="1"/>
              <w:ind w:left="0" w:right="0" w:hanging="0"/>
              <w:jc w:val="left"/>
              <w:rPr/>
            </w:pPr>
            <w:r>
              <w:rPr/>
              <w:t>​</w:t>
            </w:r>
          </w:p>
        </w:tc>
        <w:tc>
          <w:tcPr>
            <w:tcW w:w="129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Ending</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Fiscal year ended:</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Balance</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Adjustment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346"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Balance</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30,408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40,009</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4,361</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(19,787)</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54,991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28, 2024</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32,897</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5,133</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(4,432)</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30,408</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30, 2023</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20,890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17,657</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911</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(6,561)</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32,897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sells trade accounts receivable at a discount through uncommitted sale programs to third-party financial institutions without recourse. As these accounts receivable are sold without recourse, the Company does not retain the associated risks after the transfer. As of December 27, 2025, the Company had not sold any trade accounts receivable. As of December 28, 2024, the Company sold trade accounts receivable of $20,000.</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Transfers of accounts receivable are treated as sales, meaning sold receivables are removed from “Receivables, less allowance” in the Consolidated Balance Sheets. The cash proceeds from these sales are reflected in “Cash flows from operating activities” in the Consolidated Statements of Cash Flows. The discount, representing the difference between the carrying amount of the trade accounts receivable sold and the cash received, is recorded in “Other income (expenses)” in the Consolidated Statements of Earnings.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Inventory is stated at the lower of cost or net realizable value. Cost is determined using either the first-in, first-out method or the weighted average cost method, depending on the inventory management practices at each location.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Finished goods and work-in-process inventories include the cost of raw materials, direct labor, and applicable manufacturing overhead incurred to convert materials into finished products. Inventory balances are periodically reviewed and written down, as necessary, for damaged, obsolete, excess, or slow-moving items based on management’s estimates of net realizable value.</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plant, and equipment are recorded at historical cost. For financial reporting purposes, the Company primarily uses the straight-line method for depreciation and amortization, whereas accelerated methods are applied for income tax purposes. The estimated useful lives of assets for annual depreciation and amortization are as follows:</w:t>
      </w:r>
    </w:p>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Buildings and improvements: 10</w:t>
            </w:r>
            <w:r>
              <w:rPr>
                <w:caps w:val="false"/>
                <w:smallCaps w:val="false"/>
              </w:rPr>
              <w:t xml:space="preserve"> </w:t>
            </w:r>
            <w:r>
              <w:rPr>
                <w:rFonts w:ascii="Times New Roman;Times;serif" w:hAnsi="Times New Roman;Times;serif"/>
                <w:b w:val="false"/>
                <w:i w:val="false"/>
                <w:caps w:val="false"/>
                <w:smallCaps w:val="false"/>
                <w:sz w:val="20"/>
              </w:rPr>
              <w:t>to 30 years</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Machinery and equipment: 3</w:t>
            </w:r>
            <w:r>
              <w:rPr>
                <w:caps w:val="false"/>
                <w:smallCaps w:val="false"/>
              </w:rPr>
              <w:t xml:space="preserve"> </w:t>
            </w:r>
            <w:r>
              <w:rPr>
                <w:rFonts w:ascii="Times New Roman;Times;serif" w:hAnsi="Times New Roman;Times;serif"/>
                <w:b w:val="false"/>
                <w:i w:val="false"/>
                <w:caps w:val="false"/>
                <w:smallCaps w:val="false"/>
                <w:sz w:val="20"/>
              </w:rPr>
              <w:t>to 15 years</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Transportation equipment: 5</w:t>
            </w:r>
            <w:r>
              <w:rPr>
                <w:caps w:val="false"/>
                <w:smallCaps w:val="false"/>
              </w:rPr>
              <w:t xml:space="preserve"> </w:t>
            </w:r>
            <w:r>
              <w:rPr>
                <w:rFonts w:ascii="Times New Roman;Times;serif" w:hAnsi="Times New Roman;Times;serif"/>
                <w:b w:val="false"/>
                <w:i w:val="false"/>
                <w:caps w:val="false"/>
                <w:smallCaps w:val="false"/>
                <w:sz w:val="20"/>
              </w:rPr>
              <w:t>to 10 years</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Office furniture and equipment: 3</w:t>
            </w:r>
            <w:r>
              <w:rPr>
                <w:caps w:val="false"/>
                <w:smallCaps w:val="false"/>
              </w:rPr>
              <w:t xml:space="preserve"> </w:t>
            </w:r>
            <w:r>
              <w:rPr>
                <w:rFonts w:ascii="Times New Roman;Times;serif" w:hAnsi="Times New Roman;Times;serif"/>
                <w:b w:val="false"/>
                <w:i w:val="false"/>
                <w:caps w:val="false"/>
                <w:smallCaps w:val="false"/>
                <w:sz w:val="20"/>
              </w:rPr>
              <w:t>to 7 years</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Intangible assets: 2</w:t>
            </w:r>
            <w:r>
              <w:rPr>
                <w:caps w:val="false"/>
                <w:smallCaps w:val="false"/>
              </w:rPr>
              <w:t xml:space="preserve"> </w:t>
            </w:r>
            <w:r>
              <w:rPr>
                <w:rFonts w:ascii="Times New Roman;Times;serif" w:hAnsi="Times New Roman;Times;serif"/>
                <w:b w:val="false"/>
                <w:i w:val="false"/>
                <w:caps w:val="false"/>
                <w:smallCaps w:val="false"/>
                <w:sz w:val="20"/>
              </w:rPr>
              <w:t>to 20 years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plant, and equipment are evaluated for impairment whenever events or changes in circumstances indicate that their carrying amounts may not be recoverable. An impairment loss is recognized when the carrying amount of a long-lived asset is not recoverable and exceeds its fair value. Recoverability is assessed by comparing the carrying amount of the asset to the estimated undiscounted future cash flows expected to result from the use and eventual disposition of the asset. If the asset is not recoverable, an impairment loss is measured as the amount by which the carrying amount exceeds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evaluates goodwill for impairment annually during the third fiscal quarter or whenever events or circumstances indicate potential impairment. This assessment includes estimating after-tax operating cash flows (net of capital expenditures) and discounting them to present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Indefinite</w:t>
        <w:noBreakHyphen/>
        <w:t>lived intangible assets are evaluated separately from goodwill using a relief-from-royalty method as part of the annual impairment testing. Significant changes in assumptions related to a reporting unit’s goodwill or indefinite</w:t>
        <w:noBreakHyphen/>
        <w:t>lived intangible assets may trigger a re-evaluation for potential impairment. Factors considered in these assessments include recent operating performance, projected future performance, industry conditions, and other relevant indicators. For details on impairments of goodwill and other intangible assets recognized during fiscal 2025 and fiscal 2023, see Note 7.</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calculates deferred income taxes using the asset and liability method. This method recognizes deferred tax assets and liabilities based on temporary differences between the financial statement and tax bases of assets and liabilities using enacted tax rates. Changes in tax rates affecting deferred tax assets and liabilities are recognized in income in the period in which the tax rate change is enacted.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720" w:right="0" w:hanging="0"/>
        <w:jc w:val="left"/>
        <w:rPr>
          <w:rFonts w:ascii="Times New Roman;Times;serif" w:hAnsi="Times New Roman;Times;serif"/>
          <w:b/>
          <w:i/>
          <w:sz w:val="20"/>
        </w:rPr>
      </w:pPr>
      <w:bookmarkStart w:id="900" w:name="Tc_N5vvpAhzY0eaAcLco7w9lw_6_5"/>
      <w:bookmarkStart w:id="901" w:name="Tc_H9IN0oQWFUmNvxJ46iYRYg_6_2"/>
      <w:bookmarkStart w:id="902" w:name="Tc_8wS7W7ynzUaktmHLFgMRsg_6_0"/>
      <w:bookmarkStart w:id="903" w:name="Tc_rkBtMXIejUmprFYkIk8mnw_5_0"/>
      <w:bookmarkStart w:id="904" w:name="Tc_BO_qJFJcMEiXmJTHle6BOw_4_0"/>
      <w:bookmarkStart w:id="905" w:name="Tc_qLigbSIDZEmx6_Muw5MdSg_3_5"/>
      <w:bookmarkStart w:id="906" w:name="Tc_LUoFD01HYUCtFTQv3lqRAw_3_2"/>
      <w:bookmarkStart w:id="907" w:name="Tc_dHp4Vnu1YUKf67rumPz6Eg_3_0"/>
      <w:bookmarkStart w:id="908" w:name="Tc_0nim3mogBU2z9VkplVMy3A_2_5"/>
      <w:bookmarkStart w:id="909" w:name="Tc_8MfqmrL2WkKKWWhAS7Zdtw_2_2"/>
      <w:bookmarkStart w:id="910" w:name="Tc_DLSEx2817kG2DyhnIzmtzA_1_5"/>
      <w:bookmarkStart w:id="911" w:name="Tc_Ha_S8WbASkeBo6OgATGFGg_1_2"/>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b/>
          <w:i/>
          <w:sz w:val="20"/>
        </w:rPr>
        <w:t>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warranty provision represents management’s best estimate of potential liabilities arising from product warranties. Future warranty costs are estimated and recognized at the time of sale, based on historical claim rates applied to units still under warranty. Provisions are also recorded for known warranty claims as they arise.</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Accumulated Other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Comprehensive income consists of net earnings, foreign currency translation adjustments, certain derivative-related activities, and changes in prior service costs and net actuarial losses related to the pension plan. The results of operations for foreign subsidiaries are translated using average exchange rates for the reporting period, while assets and liabilities are translated at the exchange rates in effect on the balance sheet dates. As of December 27, 2025 and December 28, 2024, the accumulated other comprehensive income (loss) (“AOCI”) consisted of the following:</w:t>
      </w:r>
    </w:p>
    <w:p>
      <w:pPr>
        <w:pStyle w:val="TextBody"/>
        <w:bidi w:val="0"/>
        <w:spacing w:before="0" w:after="0"/>
        <w:ind w:left="0" w:right="0" w:hanging="0"/>
        <w:jc w:val="left"/>
        <w:rPr/>
      </w:pPr>
      <w:r>
        <w:rPr/>
        <w:t>​</w:t>
      </w:r>
    </w:p>
    <w:tbl>
      <w:tblPr>
        <w:tblW w:w="5781" w:type="dxa"/>
        <w:jc w:val="left"/>
        <w:tblInd w:w="0" w:type="dxa"/>
        <w:tblLayout w:type="fixed"/>
        <w:tblCellMar>
          <w:top w:w="0" w:type="dxa"/>
          <w:left w:w="0" w:type="dxa"/>
          <w:bottom w:w="0" w:type="dxa"/>
          <w:right w:w="0" w:type="dxa"/>
        </w:tblCellMar>
      </w:tblPr>
      <w:tblGrid>
        <w:gridCol w:w="3001"/>
        <w:gridCol w:w="109"/>
        <w:gridCol w:w="222"/>
        <w:gridCol w:w="918"/>
        <w:gridCol w:w="346"/>
        <w:gridCol w:w="220"/>
        <w:gridCol w:w="965"/>
      </w:tblGrid>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0970" cy="175260"/>
                      <wp:effectExtent l="0" t="0" r="0" b="0"/>
                      <wp:wrapNone/>
                      <wp:docPr id="22" name="Frame2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9700" cy="175260"/>
                      <wp:effectExtent l="0" t="0" r="0" b="0"/>
                      <wp:wrapNone/>
                      <wp:docPr id="24" name="Frame2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(248,741)</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(306,159)</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Hedging activities</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15,405</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21,350</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Defined benefit pension plan</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(57,179)</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(47,966)</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(290,515)</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(332,775)</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evaluates each customer contract to determine the appropriate revenue recognition model based on its type, terms, and conditions. Contracts generally contain fixed-price terms, and the Company excludes sales tax from revenue. Contract revenues are classified as “Product sales” when the performance obligation involves manufacturing and selling goods, and as “Service sales” when the performance obligation involves providing a service. Service revenue is primarily associated with the Coatings product line and the remote monitoring subscription services within the Technology Products and Services product 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Customer acceptance provisions generally apply only during the design stage, although the Company may agree to other acceptance terms on a limited basis. Customers are required to approve the design before manufacturing begins and products are delivered. The Company does not earn compensation solely for product design and does not consider design services to be a separate performance obligation; accordingly, no revenue is recognized for design services. Bid and proposal costs, including design services performed prior to contract inception, are expensed as incurred. Customers do not have general rights of return after delivery, and the Company establishes provisions for estimated 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Shipping and handling costs are included in cost of sales, with freight considered a fulfillment obligation rather than a separate performance obligation. Freight expenses are recognized proportionally as the structure is manufactured, in line with revenue recognized from the associated customer contract over time. Except for the Utility, Solar, and Telecommunications product lines, inventory is interchangeable among the various customers within each segment. The Company applies the practical expedient in ASC 606-10-50-14 and does not disclose information about remaining performance obligations that have original expected durations of one year or less. If payment is expected within one year of transferring control of goods or services, the Company does not adjust contract consideration for any significant financing component.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Most customers are invoiced upon shipment or delivery of goods to their specified locations. Contract assets are recognized as revenue is earned over time and are reduced when the customer is invoiced. As of December 27, 2025 and December 28, 2024, the Company’s contract assets totaled $266,922 and $187,257, respectively, and were recorded as “Contract assets” in the Consolidated Balance Sheets.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customers are invoiced through advance or progress billings. When the progress toward performance obligations is less than the amount billed to the customer, the excess is recorded as a contract liability. As of December 27, 2025, total contract liabilities were $52,475, with $52,013 recorded as “Contract liabilities” and $462 as “Other non-current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liabilities” in the Consolidated Balance Sheets. As of December 28, 2024, total contract liabilities were $130,696, with $126,932 recorded as “Contract liabilities” and $3,764 as “Other non-current liabilities” in the Consolidated Balance Sheets. Additional details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fiscal years ended December 27, 2025 and December 28, 2024, the Company recognized $124,246</w:t>
            </w:r>
            <w:r>
              <w:rPr>
                <w:caps w:val="false"/>
                <w:smallCaps w:val="false"/>
              </w:rPr>
              <w:t xml:space="preserve"> </w:t>
            </w:r>
            <w:r>
              <w:rPr>
                <w:rFonts w:ascii="Times New Roman;Times;serif" w:hAnsi="Times New Roman;Times;serif"/>
                <w:b w:val="false"/>
                <w:i w:val="false"/>
                <w:caps w:val="false"/>
                <w:smallCaps w:val="false"/>
                <w:sz w:val="20"/>
              </w:rPr>
              <w:t>and $53,819</w:t>
            </w:r>
            <w:r>
              <w:rPr>
                <w:caps w:val="false"/>
                <w:smallCaps w:val="false"/>
              </w:rPr>
              <w:t xml:space="preserve"> </w:t>
            </w:r>
            <w:r>
              <w:rPr>
                <w:rFonts w:ascii="Times New Roman;Times;serif" w:hAnsi="Times New Roman;Times;serif"/>
                <w:b w:val="false"/>
                <w:i w:val="false"/>
                <w:caps w:val="false"/>
                <w:smallCaps w:val="false"/>
                <w:sz w:val="20"/>
              </w:rPr>
              <w:t>in revenue, respectively, from amounts included in contract liabilities as of December 28, 2024 and December 30, 2023. This revenue reflects advance payments applied to performance obligations completed during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27, 2025, the Company had $462</w:t>
            </w:r>
            <w:r>
              <w:rPr>
                <w:caps w:val="false"/>
                <w:smallCaps w:val="false"/>
              </w:rPr>
              <w:t xml:space="preserve"> </w:t>
            </w:r>
            <w:r>
              <w:rPr>
                <w:rFonts w:ascii="Times New Roman;Times;serif" w:hAnsi="Times New Roman;Times;serif"/>
                <w:b w:val="false"/>
                <w:i w:val="false"/>
                <w:caps w:val="false"/>
                <w:smallCaps w:val="false"/>
                <w:sz w:val="20"/>
              </w:rPr>
              <w:t>in remaining performance obligations on contracts with an original expected duration of one year or more. These obligations are expected to be fulfilled within the next 12</w:t>
            </w:r>
            <w:r>
              <w:rPr>
                <w:caps w:val="false"/>
                <w:smallCaps w:val="false"/>
              </w:rPr>
              <w:t xml:space="preserve"> </w:t>
            </w:r>
            <w:r>
              <w:rPr>
                <w:rFonts w:ascii="Times New Roman;Times;serif" w:hAnsi="Times New Roman;Times;serif"/>
                <w:b w:val="false"/>
                <w:i w:val="false"/>
                <w:caps w:val="false"/>
                <w:smallCaps w:val="false"/>
                <w:sz w:val="20"/>
              </w:rPr>
              <w:t>to 24 months.</w:t>
            </w:r>
          </w:p>
        </w:tc>
      </w:tr>
    </w:tbl>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Segment and Product Line Revenue Recognition</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Infrastructure Segment</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Steel and concrete structures in the Utility product line are custom engineered to customer specifications. Due to this level of customization, the products typically have no alternative use to the Company if an order is canceled after production begins. Customer contracts include termination clauses or provide enforceable rights to payment for work performed to date, including a reasonable profit. These terms support the conclusion that control transfers to the customer over time. Accordingly, revenue is recognized based on progress toward completion of the performance obligation.</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Progress is measured using an input-based method, generally the ratio of production hours incurred to total estimated hours required for the project. The resulting percentage of completion is applied to the transaction price and estimated costs to determine revenue, cost of sales, and gross profit for the reporting period. Orders are typically completed within several months and therefore there is no significant financing component.</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For certain sales, the Company engages external sales agents and incurs commissions and other direct incremental costs to obtain sales contracts, which are recognized proportionately as progress is made. The Company has elected to apply the practical expedient to expense such costs as incurred, as the amortization period of the related assets is expected to be one year or less. Accordingly, these costs are recorded in “Selling, general, and administrative expenses” in the Consolidated Statements of Earnings.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Revenue from Solar product line structures is recognized at a point in time, generally upon shipment or delivery, depending on contract terms.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Revenue from structures in the Lighting and Transportation product line and from most Telecommunications products is recognized at a point in time, generally upon shipment or delivery to the customer, which aligns with the billing date.</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However, certain large regional customers in the Telecommunications product line require customized structures with unique specifications. When such contracts include cancellation clauses requiring payment for work performed plus a reasonable margin, the Company recognizes revenue over time using an input-based method (hours incurred relative to total estimated hours) consistent with the Utility product line.</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Revenue from Coatings product line services, including galvanizing and powder coating, is recognized upon completion of the service and when goods are available for pickup or delivery.</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b w:val="false"/>
          <w:i/>
          <w:sz w:val="20"/>
        </w:rPr>
      </w:pPr>
      <w:bookmarkStart w:id="912" w:name="Tc_Thl0HGx-w0GG1cTChGbn6A_6_17"/>
      <w:bookmarkStart w:id="913" w:name="Tc_QjVmrHLJNUW3YnSq99OthA_6_14"/>
      <w:bookmarkStart w:id="914" w:name="Tc_y9t3CQZhk0iP7Z0yLXRIkw_6_11"/>
      <w:bookmarkStart w:id="915" w:name="Tc_YIDN4ALtXkia7V2Xy2F-Lw_6_8"/>
      <w:bookmarkStart w:id="916" w:name="Tc__uCo40eNzE2HoEBcB_bKjQ_6_5"/>
      <w:bookmarkStart w:id="917" w:name="Tc_OOXBssuoHUWQf_KwTLdtPg_6_2"/>
      <w:bookmarkStart w:id="918" w:name="Tc_SGiyHER93UeCxa44IrttpQ_6_0"/>
      <w:bookmarkStart w:id="919" w:name="Tc_zr9rlsueLEiYwViF-JTUSg_5_0"/>
      <w:bookmarkStart w:id="920" w:name="Tc_K6QHDTP4pU-na05n4WY0Xg_4_17"/>
      <w:bookmarkStart w:id="921" w:name="Tc_FgRUj8utI0ipPRvYYemQVA_4_14"/>
      <w:bookmarkStart w:id="922" w:name="Tc_DXDt09OFhkWhVzJ3FHLJ4w_4_11"/>
      <w:bookmarkStart w:id="923" w:name="Tc_LYMgO5GLKUSKFk_irOi6dQ_4_8"/>
      <w:bookmarkStart w:id="924" w:name="Tc_O7wbZU2I8UOxth19PYlAjw_4_5"/>
      <w:bookmarkStart w:id="925" w:name="Tc_KYqZdEVYRkuqodcon77FZw_4_2"/>
      <w:bookmarkStart w:id="926" w:name="Tc_tkAynfGawkqDJdYeAFujcw_4_0"/>
      <w:bookmarkStart w:id="927" w:name="Tc_f8Q3Hz4F80e7A-3jsWIdSQ_3_17"/>
      <w:bookmarkStart w:id="928" w:name="Tc_Tb5sEjcRfUCJ5glf9mqjSQ_3_14"/>
      <w:bookmarkStart w:id="929" w:name="Tc_CI8VufNKUUifeTEX7kOYrA_3_11"/>
      <w:bookmarkStart w:id="930" w:name="Tc_opg_MprxjkOcBKwkN0HcuA_3_8"/>
      <w:bookmarkStart w:id="931" w:name="Tc_7EKLXY0VvkK7zBMcKlkLHw_3_5"/>
      <w:bookmarkStart w:id="932" w:name="Tc_ui9lKXQSz0qFVlEEY44gnw_3_2"/>
      <w:bookmarkStart w:id="933" w:name="Tc_YPEYPx-Ly0u_GiNpQ3Kksg_2_14"/>
      <w:bookmarkStart w:id="934" w:name="Tc_qPSE8gK3LE2plyfHXTz8YA_2_8"/>
      <w:bookmarkStart w:id="935" w:name="Tc_1MV3P85Uik--ils-rNWzeg_2_2"/>
      <w:bookmarkStart w:id="936" w:name="Tc_RGXqMsIYf0GQdcCmlejjEg_1_2"/>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val="false"/>
          <w:i/>
          <w:sz w:val="20"/>
        </w:rPr>
        <w:t>Agriculture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irrigation equipment, related parts, services, and tubular products sold to industrial customers is recognized at a point in time, typically upon shipment, which aligns with when the Company bills the customer.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certain international irrigation projects, customers require installation services in addition to equipment. These contracts contain multiple performance obligations. The standalone selling price for each performance obligation is estimated using management’s assessment of the price a customer would pay on a standalone basis, which generally reflects cost plus a reasonable profit margin.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Remote monitoring subscription services within the Technology Products and Services product line are billed primarily on an annual basis. Revenue from these services is recognized over time on a straight-line basis over the contract term.</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Over Time and Point in Time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disaggregation of revenue by product line is provided in Note 20. A breakdown of revenue recognized over time and at a point in time by segment for the fiscal years ended December 27, 2025, December 28, 2024, and December 30, 2023 is as follows:</w:t>
      </w:r>
    </w:p>
    <w:p>
      <w:pPr>
        <w:pStyle w:val="TextBody"/>
        <w:bidi w:val="0"/>
        <w:spacing w:before="0" w:after="0"/>
        <w:ind w:left="0" w:right="0" w:hanging="0"/>
        <w:jc w:val="left"/>
        <w:rPr/>
      </w:pPr>
      <w:r>
        <w:rPr/>
        <w:t>​</w:t>
      </w:r>
    </w:p>
    <w:tbl>
      <w:tblPr>
        <w:tblW w:w="8473" w:type="dxa"/>
        <w:jc w:val="left"/>
        <w:tblInd w:w="0" w:type="dxa"/>
        <w:tblLayout w:type="fixed"/>
        <w:tblCellMar>
          <w:top w:w="0" w:type="dxa"/>
          <w:left w:w="0" w:type="dxa"/>
          <w:bottom w:w="0" w:type="dxa"/>
          <w:right w:w="0" w:type="dxa"/>
        </w:tblCellMar>
      </w:tblPr>
      <w:tblGrid>
        <w:gridCol w:w="1126"/>
        <w:gridCol w:w="346"/>
        <w:gridCol w:w="210"/>
        <w:gridCol w:w="885"/>
        <w:gridCol w:w="109"/>
        <w:gridCol w:w="196"/>
        <w:gridCol w:w="826"/>
        <w:gridCol w:w="109"/>
        <w:gridCol w:w="210"/>
        <w:gridCol w:w="885"/>
        <w:gridCol w:w="109"/>
        <w:gridCol w:w="196"/>
        <w:gridCol w:w="826"/>
        <w:gridCol w:w="109"/>
        <w:gridCol w:w="210"/>
        <w:gridCol w:w="885"/>
        <w:gridCol w:w="109"/>
        <w:gridCol w:w="196"/>
        <w:gridCol w:w="931"/>
      </w:tblGrid>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0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c>
          <w:tcPr>
            <w:tcW w:w="109" w:type="dxa"/>
            <w:tcBorders/>
            <w:vAlign w:val="center"/>
          </w:tcPr>
          <w:p>
            <w:pPr>
              <w:pStyle w:val="TableContents"/>
              <w:bidi w:val="0"/>
              <w:spacing w:before="0" w:after="1"/>
              <w:ind w:left="0" w:right="0" w:hanging="0"/>
              <w:jc w:val="left"/>
              <w:rPr/>
            </w:pPr>
            <w:r>
              <w:rPr/>
              <w:t>​</w:t>
            </w:r>
          </w:p>
        </w:tc>
        <w:tc>
          <w:tcPr>
            <w:tcW w:w="22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 2024</w:t>
            </w:r>
          </w:p>
        </w:tc>
        <w:tc>
          <w:tcPr>
            <w:tcW w:w="109" w:type="dxa"/>
            <w:tcBorders/>
            <w:vAlign w:val="center"/>
          </w:tcPr>
          <w:p>
            <w:pPr>
              <w:pStyle w:val="TableContents"/>
              <w:bidi w:val="0"/>
              <w:spacing w:before="0" w:after="1"/>
              <w:ind w:left="0" w:right="0" w:hanging="0"/>
              <w:jc w:val="left"/>
              <w:rPr/>
            </w:pPr>
            <w:r>
              <w:rPr/>
              <w:t>​</w:t>
            </w:r>
          </w:p>
        </w:tc>
        <w:tc>
          <w:tcPr>
            <w:tcW w:w="23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 2023</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Point in Time</w:t>
            </w:r>
          </w:p>
        </w:tc>
        <w:tc>
          <w:tcPr>
            <w:tcW w:w="109"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Over Time</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1,612,552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1,477,180</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1,656,355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1,342,026</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1,744,139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1,255,498</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978,828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35,542</w:t>
            </w:r>
          </w:p>
        </w:tc>
        <w:tc>
          <w:tcPr>
            <w:tcW w:w="109"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1,043,960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32,693</w:t>
            </w:r>
          </w:p>
        </w:tc>
        <w:tc>
          <w:tcPr>
            <w:tcW w:w="109"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1,144,633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30,328</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2,591,380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1,512,722</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2,700,315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1,374,719</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2,888,772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1,285,826</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Equity Method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equity method investments in non-consolidated subsidiaries, which are recorded as “Other non-current assets” in the Consolidated Balance Sheets.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Treasury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Repurchased shares are recorded as “Treasury stock” and result in a reduction of “Shareholders’ equity” in the Consolidated Balance Sheets. When treasury shares are reissued, the Company applies the last-in, first-out method. Any difference between the repurchase cost and the reissuance price is charged or credited to “Additional paid-in capital” (or “Retained earnings” in the absence of “Additional paid-in capital”). As of December 27, 2025, the Company had repurchased 8,843,280 shares for approximately $1,533,045 under the Company’s share repurchase program.</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and included in “Selling, general, and administrative expenses” in the Consolidated Statements of Earnings. For the fiscal years ended December 27, 2025, December 28, 2024, and December 30, 2023, research and development costs were approximately $33,000, $59,000, and $55,000, respectively.</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Supplier Finance Program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fiscal 2019, the Company entered into an agreement with a third-party financial institution to facilitate a supplier finance program. This program allows qualifying suppliers to sell their receivables from the Company to the financial institution. These suppliers negotiate directly with the financial institution regarding their outstanding receivables, while the Company’s rights and obligations to suppliers remain unaffected. The Company has no economic interest in a supplier’s decision to participate in the program. Once a supplier opts into the program, they select which individual invoices from the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left"/>
        <w:rPr>
          <w:rFonts w:ascii="Times New Roman;Times;serif" w:hAnsi="Times New Roman;Times;serif"/>
          <w:sz w:val="20"/>
        </w:rPr>
      </w:pPr>
      <w:bookmarkStart w:id="937" w:name="Tc_7UJIJEwNbkioKlvPQ9kh3g_6_5"/>
      <w:bookmarkStart w:id="938" w:name="Tc_EDPLIhLn-kGpNViD1YxVAg_6_2"/>
      <w:bookmarkStart w:id="939" w:name="Tc_De1aYgWRLEmCdmuMusxT5A_6_0"/>
      <w:bookmarkStart w:id="940" w:name="Tc_lKenGmJDVU2MCl5vvevhmQ_5_0"/>
      <w:bookmarkStart w:id="941" w:name="Tc_u3Y66mC1dkKsNsLS0TfrQA_4_0"/>
      <w:bookmarkStart w:id="942" w:name="Tc_o8bM_2wAFECQ4IvyGsD-ug_3_5"/>
      <w:bookmarkStart w:id="943" w:name="Tc_R612PUHoI0KP5ycofOafaw_3_2"/>
      <w:bookmarkStart w:id="944" w:name="Tc_Jy05fIwYdEGbtiso0Dpaig_3_0"/>
      <w:bookmarkStart w:id="945" w:name="Tc_ce8EE0Kh1Ea7xPj6I440DQ_2_5"/>
      <w:bookmarkStart w:id="946" w:name="Tc_Db-iVv7UJUOo1MGO3yDb3w_2_2"/>
      <w:bookmarkStart w:id="947" w:name="Tc_8fxIJnl5d0StbZ3Npo1XYA_1_5"/>
      <w:bookmarkStart w:id="948" w:name="Tc_LpfO0f_-6kuSqFQ3PRtmFg_1_2"/>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sz w:val="20"/>
        </w:rPr>
        <w:t>Company to sell to the financial institution. The Company is obligated to pay the negotiated invoice amount to the financial institution on the due date, regardless of whether the supplier has sold the individual invoice.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payment terms with suppliers participating in the supplier finance program, which the Company deems to be commercially reasonable, generally range up to 75 days. The Company has no direct financial relationship with the financial institution beyond the payment of confirmed invoices on their contractual due dates, and the Company has not pledged any assets or provided guarantees in connection with the supplier finance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invoices from participating suppliers that are not sold under the supplier finance program, the financial institution pays the supplier on the invoice’s due date. The invoice amounts and scheduled payment terms remain unchanged, regardless of whether the supplier decides to sell under these arrangements. Payments related to these obligations are included in “Cash flows from operating activities” in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outstanding payment obligations under the Company’s supplier finance program (included in “Accounts payable” in the Consolidated Balance Sheets) were as follows:</w:t>
      </w:r>
    </w:p>
    <w:p>
      <w:pPr>
        <w:pStyle w:val="TextBody"/>
        <w:bidi w:val="0"/>
        <w:spacing w:before="0" w:after="0"/>
        <w:ind w:left="0" w:right="0" w:hanging="0"/>
        <w:jc w:val="left"/>
        <w:rPr/>
      </w:pPr>
      <w:r>
        <w:rPr/>
        <w:t>​</w:t>
      </w:r>
    </w:p>
    <w:tbl>
      <w:tblPr>
        <w:tblW w:w="6936" w:type="dxa"/>
        <w:jc w:val="left"/>
        <w:tblInd w:w="0" w:type="dxa"/>
        <w:tblLayout w:type="fixed"/>
        <w:tblCellMar>
          <w:top w:w="0" w:type="dxa"/>
          <w:left w:w="0" w:type="dxa"/>
          <w:bottom w:w="0" w:type="dxa"/>
          <w:right w:w="0" w:type="dxa"/>
        </w:tblCellMar>
      </w:tblPr>
      <w:tblGrid>
        <w:gridCol w:w="4156"/>
        <w:gridCol w:w="109"/>
        <w:gridCol w:w="222"/>
        <w:gridCol w:w="918"/>
        <w:gridCol w:w="346"/>
        <w:gridCol w:w="220"/>
        <w:gridCol w:w="965"/>
      </w:tblGrid>
      <w:tr>
        <w:trPr/>
        <w:tc>
          <w:tcPr>
            <w:tcW w:w="41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41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Confirmed obligations outstanding—beginning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45,602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41,916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Invoices confirmed</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275,948</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216,731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Confirmed invoices paid</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(265,226)</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(213,045)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Confirmed obligations outstanding—end of period</w:t>
            </w:r>
          </w:p>
        </w:tc>
        <w:tc>
          <w:tcPr>
            <w:tcW w:w="109"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56,324</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45,602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Redeemable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Noncontrolling interests with redemption features that are not solely within the Company’s control are classified as redeemable noncontrolling interests. The Company has redeemable noncontrolling interests in certain entities. A noncontrolling interest holder can require the Company to purchase their remaining ownership, referred to as a put right. Likewise, the Company can require a noncontrolling interest holder to sell the Company their remaining ownership, known as a call option. The redemption amount and effective date of these rights vary according to the applicable operating agreements, with some redeemable at fair value and some redeemable at amounts other than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these redemption features, the Company records the noncontrolling interests as redeemable and classifies the balances in temporary equity in the Consolidated Balance Sheets, initially at their acquisition-date fair value. The Company adjusts the redeemable noncontrolling interests each reporting period for the net income (loss) attributable to the noncontrolling interests and any applicable redemption value adjustments using the maximum redemption value. Redemption value adjustments are offset against retained earnings. Earnings used in the computation of earnings per share for the reporting period are impacted by redemption value adjustments for noncontrolling interests redeemable at amounts other than fair value using the entire adjustment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thirteen weeks ended June 28, 2025, the Company recorded a $26,243 change in the redemption value of redeemable noncontrolling interest related to the Company’s joint venture agriculture solar business, which was reflected in “Shareholders’ equity” and “Redeemable noncontrolling interests.” This represented a change in redemption value that was treated as an adjustment to net earnings for purposes of calculating earnings per share. The Company determined that the change in redemption value included the correction of a prior-year error in the determination of the redemption value of redeemable noncontrolling interest totaling $21,792. This correction increased diluted loss per share by $1.10 for the thirteen weeks ended June 28, 2025 and decreased diluted earnings per share by $1.09 for the fifty-two weeks ended December 27, 2025. The Company concluded that the correction was not material to the period or to any previously issued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the redeemable noncontrolling interests were $9,498 and $51,519, respectively. The final amounts paid for these interests may vary significantly, as the redemption amounts are contingent on the future operational results of the respective businesses.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This update is intended to improve transparency and usefulness in income tax disclosures, particularly in areas such as rate reconciliation and reporting of income taxes paid. This guidance is effective prospectively for the fiscal year ending December 27, 2025. The adoption of this guidance did not have a material impact on the Company's Consolidated Financial Statements. See Note 9 for the required disclosures associated with this update.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(Subtopic 220-40): Disaggregation of Income Statement Expenses. This update aims to enhance expense disclosures by providing more detailed information on the types of expenses within commonly presented categories. The guidance is effective on both a prospective and retrospective basis for the fiscal year ending December 25, 2027, with early adoption permitted. The Company does not expect any impact on its results of operations, as the changes primarily relate to enhanced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Intangibles—Goodwill and Other— Internal-Use Software</w:t>
      </w:r>
      <w:r>
        <w:rPr>
          <w:rFonts w:ascii="Times New Roman;Times;serif" w:hAnsi="Times New Roman;Times;serif"/>
          <w:sz w:val="20"/>
        </w:rPr>
        <w:t xml:space="preserve"> (Subtopic 350-40): Targeted Improvements to the Accounting for Internal-Use Software. This update amends certain aspects of the accounting for and disclosure of software costs. The guidance will be adopted prospectively for the Form 10-K for the fiscal year ending December 25, 2027, with early adoption permitted. The Company is currently evaluating the impact of this standard on the Consolidated Financial Statements and related disclosures.</w:t>
      </w:r>
    </w:p>
    <w:p>
      <w:pPr>
        <w:pStyle w:val="TextBody"/>
        <w:bidi w:val="0"/>
        <w:spacing w:before="0" w:after="240"/>
        <w:ind w:left="0" w:right="0" w:hanging="0"/>
        <w:jc w:val="left"/>
        <w:rPr>
          <w:rFonts w:ascii="Times New Roman;Times;serif" w:hAnsi="Times New Roman;Times;serif"/>
          <w:b/>
          <w:sz w:val="20"/>
        </w:rPr>
      </w:pPr>
      <w:bookmarkStart w:id="949" w:name="a2ACQUISITIONS_864295"/>
      <w:bookmarkEnd w:id="949"/>
      <w:r>
        <w:rPr>
          <w:rFonts w:ascii="Times New Roman;Times;serif" w:hAnsi="Times New Roman;Times;serif"/>
          <w:b/>
          <w:sz w:val="20"/>
        </w:rPr>
        <w:t>(2) ACQUISITIONS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Acquisitions of Businesses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31, 2023, the Company acquired HR Products for $58,044 Australian dollars ($37,302 United States (“U.S.”) dollars) in cash, net of cash acquired, and subject to working capital adjustments. Of the purchase price, $7,200 Australian dollars ($4,626 U.S. dollars) was withheld at closing as a retention fund to address contingencies and potential disagreements. This retention amount was settled in two equal payments, with the first payment made during the third quarter of fiscal 2024 and the second payment made during the third quarter of fiscal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HR Products provides a wide range of irrigation products serving the agriculture and landscaping industries, with its operations reported in the Agriculture segment. This acquisition strengthens the Company’s position in the critical agriculture market of Australia by expanding its geographic footprint and bolstering its aftermarket parts presence. The acquired customer relationships will be amortized over 13 years. Goodwill resulting from the acquisition was not tax-deductible and was attributed to anticipated synergies and other intangibles that did not qualify for separate recognition. The Company finalized the purchase price allocation in the third quarter of fiscal 2024.</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950" w:name="Tc_Bp2j4hvhtEWB7f4VBEFBCQ_13_2"/>
      <w:bookmarkStart w:id="951" w:name="Tc_CJECoJdplkmSkube-rpkOw_13_0"/>
      <w:bookmarkStart w:id="952" w:name="Tc_EVrLC2UPE0yOTNjx-lF_cg_12_0"/>
      <w:bookmarkStart w:id="953" w:name="Tc_Q9qXZ7SCi0OROMg4QkAHIg_11_0"/>
      <w:bookmarkStart w:id="954" w:name="Tc_S3S-i6ru4kSZT0V8QTv6Ug_10_0"/>
      <w:bookmarkStart w:id="955" w:name="Tc_Ntd3VIgsA0yCNOEocDTacA_9_0"/>
      <w:bookmarkStart w:id="956" w:name="Tc_4b2ZwDyAHk632BE_emNqZg_8_0"/>
      <w:bookmarkStart w:id="957" w:name="Tc_qq6nGQGPAkO4MVrS8RtKdw_7_0"/>
      <w:bookmarkStart w:id="958" w:name="Tc_0iUIRbUIO0Kuk6g7vmlSNw_6_0"/>
      <w:bookmarkStart w:id="959" w:name="Tc_BN_BIhB0gUmnAPwNzKkIeQ_5_0"/>
      <w:bookmarkStart w:id="960" w:name="Tc_clGk4b-MHEiZlXR-9f8rqQ_4_0"/>
      <w:bookmarkStart w:id="961" w:name="Tc_70-K9BwdikqEVljqQy8pZQ_3_2"/>
      <w:bookmarkStart w:id="962" w:name="Tc_y8Bu6d1F50eiDmRdhJ5_rg_3_0"/>
      <w:bookmarkStart w:id="963" w:name="Tc_--HH4VeKBkSa-jtXlMV0Kg_2_2"/>
      <w:bookmarkStart w:id="964" w:name="Tc_roaOxc3_q0S62-RTFrgpNQ_1_2"/>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sz w:val="20"/>
        </w:rPr>
        <w:t>The following table summarizes the fair values of the assets acquired and liabilities assumed from HR Products as of the date of acquisition:</w:t>
      </w:r>
    </w:p>
    <w:p>
      <w:pPr>
        <w:pStyle w:val="TextBody"/>
        <w:bidi w:val="0"/>
        <w:spacing w:before="0" w:after="0"/>
        <w:ind w:left="0" w:right="0" w:hanging="0"/>
        <w:jc w:val="left"/>
        <w:rPr/>
      </w:pPr>
      <w:r>
        <w:rPr/>
        <w:t>​</w:t>
      </w:r>
    </w:p>
    <w:tbl>
      <w:tblPr>
        <w:tblW w:w="3815" w:type="dxa"/>
        <w:jc w:val="left"/>
        <w:tblInd w:w="0" w:type="dxa"/>
        <w:tblLayout w:type="fixed"/>
        <w:tblCellMar>
          <w:top w:w="0" w:type="dxa"/>
          <w:left w:w="0" w:type="dxa"/>
          <w:bottom w:w="0" w:type="dxa"/>
          <w:right w:w="0" w:type="dxa"/>
        </w:tblCellMar>
      </w:tblPr>
      <w:tblGrid>
        <w:gridCol w:w="2716"/>
        <w:gridCol w:w="109"/>
        <w:gridCol w:w="215"/>
        <w:gridCol w:w="775"/>
      </w:tblGrid>
      <w:tr>
        <w:trPr/>
        <w:tc>
          <w:tcPr>
            <w:tcW w:w="27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left"/>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August 31,</w:t>
            </w:r>
          </w:p>
        </w:tc>
      </w:tr>
      <w:tr>
        <w:trPr/>
        <w:tc>
          <w:tcPr>
            <w:tcW w:w="27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24,153</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1,397</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9,508</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relationships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11,503</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3,997</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fair value of assets acquired</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50,558</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4,183</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3,046</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2,792</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fair value of liabilities assumed</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10,021</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40,537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Pro forma disclosures have been omitted, as this acquisition did not significantly impact the Company’s financial results. Acquisition-related costs for this transaction were insignificant in all fiscal years presented.</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Subsequent to the fourth quarter of fiscal 2025, on January 12, 2026, the Company acquired the remaining 80% ownership interest in RMDS Innovation, Inc., a Quebec-based technology company, for approximately $20,745 Canadian dollars ($15,150 U.S. dollars), subject to customary working capital adjustments. The purchase price includes $4,108 Canadian dollars ($3,000 U.S. dollars) of contingent consideration, which management currently expects is probable of payment and payable in two future earn-out installments. The Company expects that the majority of the purchase price will be allocated to goodwill and will finalize the purchase price allocation within the one-year measurement period. In addition, the Company will remeasure its previously held equity method investment to fair value as of the acquisition date.</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Acquisitions of Redeemable Noncontrolling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negotiations with the noncontrolling interest holders of Solbras Energia Solar do Brasil S.A. to acquire the remaining 45% ownership interest and entered into a revised shareholder purchase agreement with a final redemption amount of approximately 79,000 Brazilian reais ($14,246 U.S dollars). Payment of this amount was made in the fourth quarter of fiscal 2025, thereby settling the related redeemable noncontrolling interest. The redemption resulted in an increase to “Retained earnings” of approximately $11,997 and increased diluted earnings per share by $0.61 and $0.60 for the thirteen and fifty-two weeks ended December 27,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fourth quarter of fiscal 2025, the Company completed negotiations with the noncontrolling interest holders of ConcealFab, Inc. to acquire the remaining 40% ownership interest outside of the existing redemption rights period. The Company entered into revised shareholder purchase agreements with each minority shareholder for an aggregate purchase price of approximately $81,822. Approximately $72,900 of this amount was paid during the fourth quarter of fiscal 2025, with the remaining approximately $8,922, recorded as “Mandatorily redeemable financial instrument” in the Consolidated Balance Sheets, paid in the first quarter of fiscal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third quarter of fiscal 2025, following the exercise of put options by the minority shareholders, the Company acquired an additional approximately 30% ownership interest of Valmont Irrigation Argentina B.V. for $14,624.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first quarter of fiscal 2024, the Company acquired an additional approximately 9% ownership interest of ConcealFab, Inc. for $7,227 and the remaining 25% ownership interest of Valmont Substations, LLC for $10,518.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transactions involved acquiring portions of the remaining shares in consolidated subsidiaries, with no changes in control. See Note 1 for further information on the Company’s redeemable noncontrolling interests.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DIVESTITURES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25, 2024, the Company completed the sale of George Industries, a coatings and anodizing company in California, which was reported in the Infrastructure segment. The Company received net proceeds of $500 from this sale. In the fourth quarter of fiscal 2024, a pre-tax loss of $2,779 was reported in “</w:t>
      </w:r>
      <w:r>
        <w:rPr>
          <w:rFonts w:ascii="Times New Roman;Times;serif" w:hAnsi="Times New Roman;Times;serif"/>
          <w:b w:val="false"/>
          <w:i w:val="false"/>
          <w:caps w:val="false"/>
          <w:smallCaps w:val="false"/>
          <w:sz w:val="20"/>
        </w:rPr>
        <w:t>Other income (expenses)</w:t>
      </w:r>
      <w:r>
        <w:rPr>
          <w:rFonts w:ascii="Times New Roman;Times;serif" w:hAnsi="Times New Roman;Times;serif"/>
          <w:sz w:val="20"/>
        </w:rPr>
        <w:t>” in the Consolidated Statements of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31, 2024, the Company completed the sale of its extractive business, which included the manufacturing and distribution of screening products to the mining and quarrying sectors in Australia and New Zealand, which was reported in the Infrastructure segment. The Company received net proceeds of $5,042 Australian dollars ($3,330 U.S. dollars) at closing, with an additional $1,800 Australian dollars ($1,172 U.S. dollars) to be received through two payments. The first payment of $800 Australian dollars ($503 U.S. dollars) was received in the first quarter of fiscal 2025, and the second payment is expected to be received in the second quarter of fiscal 2026. In the fourth quarter of fiscal 2024, a pre-tax loss of $2,567 Australian dollars ($1,695 U.S. dollars) was reported in “</w:t>
      </w:r>
      <w:r>
        <w:rPr>
          <w:rFonts w:ascii="Times New Roman;Times;serif" w:hAnsi="Times New Roman;Times;serif"/>
          <w:b w:val="false"/>
          <w:i w:val="false"/>
          <w:caps w:val="false"/>
          <w:smallCaps w:val="false"/>
          <w:sz w:val="20"/>
        </w:rPr>
        <w:t>Other income (expenses)</w:t>
      </w:r>
      <w:r>
        <w:rPr>
          <w:rFonts w:ascii="Times New Roman;Times;serif" w:hAnsi="Times New Roman;Times;serif"/>
          <w:sz w:val="20"/>
        </w:rPr>
        <w:t>” in the Consolidated Statements of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30, 2023, the Company completed the sale of Torrent Engineering and Equipment Company, LLC, an integrator of prepackaged pump stations in Indiana, which was reported in the Agriculture segment. The Company received net proceeds of $6,369 from this sale. In the second quarter of fiscal 2023, a pre-tax gain of $2,994 was reported in “</w:t>
      </w:r>
      <w:r>
        <w:rPr>
          <w:rFonts w:ascii="Times New Roman;Times;serif" w:hAnsi="Times New Roman;Times;serif"/>
          <w:b w:val="false"/>
          <w:i w:val="false"/>
          <w:caps w:val="false"/>
          <w:smallCaps w:val="false"/>
          <w:sz w:val="20"/>
        </w:rPr>
        <w:t>Other income (expenses)</w:t>
      </w:r>
      <w:r>
        <w:rPr>
          <w:rFonts w:ascii="Times New Roman;Times;serif" w:hAnsi="Times New Roman;Times;serif"/>
          <w:sz w:val="20"/>
        </w:rPr>
        <w:t>” in the Consolidated Statements of Earnings.</w:t>
      </w:r>
    </w:p>
    <w:p>
      <w:pPr>
        <w:pStyle w:val="TextBody"/>
        <w:bidi w:val="0"/>
        <w:spacing w:before="0" w:after="240"/>
        <w:ind w:left="0" w:right="0" w:hanging="0"/>
        <w:jc w:val="left"/>
        <w:rPr>
          <w:rFonts w:ascii="Times New Roman;Times;serif" w:hAnsi="Times New Roman;Times;serif"/>
          <w:b/>
          <w:sz w:val="20"/>
        </w:rPr>
      </w:pPr>
      <w:bookmarkStart w:id="965" w:name="Tc_-DEgs40ZUkubAoF5zRxvjQ_7_11"/>
      <w:bookmarkStart w:id="966" w:name="Tc_gRjRarE-lketAOfLakMvhQ_7_8"/>
      <w:bookmarkStart w:id="967" w:name="Tc_vD8fsJwv3kmaPGoiUL1_Ow_7_5"/>
      <w:bookmarkStart w:id="968" w:name="Tc_C2luxKK4JEW80PaAaixX0Q_7_3"/>
      <w:bookmarkStart w:id="969" w:name="Tc_71qRF2ZOF02JLj7G5vtGrA_7_2"/>
      <w:bookmarkStart w:id="970" w:name="Tc_uMckPKiTcEmjjNSslFm97w_6_9"/>
      <w:bookmarkStart w:id="971" w:name="Tc_PVwRCbfcnECnJaR9zyilig_6_3"/>
      <w:bookmarkStart w:id="972" w:name="Tc_jYXBcp3wvkeROtjeDyi-8g_6_0"/>
      <w:bookmarkStart w:id="973" w:name="Tc_VGT39flj10OE_YW2FBAQOw_5_3"/>
      <w:bookmarkStart w:id="974" w:name="Tc_mhrVtlZUA0iGuV-7FEQS-g_5_0"/>
      <w:bookmarkStart w:id="975" w:name="Tc_QPLTfV7p50CTbCru-ygHpA_4_11"/>
      <w:bookmarkStart w:id="976" w:name="Tc_WVowApqbeU-h9DEhUYCOHg_4_8"/>
      <w:bookmarkStart w:id="977" w:name="Tc_W5kP2TnfY0y4OEBil6KHoA_4_5"/>
      <w:bookmarkStart w:id="978" w:name="Tc__F-PB1Itx0emqI-VxQ6C9A_4_3"/>
      <w:bookmarkStart w:id="979" w:name="Tc_CSVD6Gi9-063nvLiq_UhYA_4_2"/>
      <w:bookmarkStart w:id="980" w:name="Tc_z2uV0_XKTEatOQ-G6XlrvQ_4_0"/>
      <w:bookmarkStart w:id="981" w:name="Tc_7esCxAdPjk6TJn2s5f_LPQ_3_11"/>
      <w:bookmarkStart w:id="982" w:name="Tc_ZJZCXaWSOky1rhtnfQfG8w_3_8"/>
      <w:bookmarkStart w:id="983" w:name="Tc_rJhx__wOQEiMrEjEtQGzKw_3_5"/>
      <w:bookmarkStart w:id="984" w:name="Tc_uDWK-pNv3k2Zg09knfgyng_3_2"/>
      <w:bookmarkStart w:id="985" w:name="Tc_qUlg3zjFYU-807ZtrzfNng_2_11"/>
      <w:bookmarkStart w:id="986" w:name="Tc_Zo90iOTSfEyA0nyKHljqJQ_2_8"/>
      <w:bookmarkStart w:id="987" w:name="Tc_AqAFB-FWFEKNXBqAVm5ofw_2_5"/>
      <w:bookmarkStart w:id="988" w:name="Tc_e_6gH6RQN0exwxl1HAM2MA_2_2"/>
      <w:bookmarkStart w:id="989" w:name="Tc_G6pNnq-CmU6etsn9_GIGfg_1_11"/>
      <w:bookmarkStart w:id="990" w:name="Tc_5uuMu9499U-iq3VTZQF5KQ_1_8"/>
      <w:bookmarkStart w:id="991" w:name="Tc_g_mS2d_ux0KB7hLTrcxyOw_1_5"/>
      <w:bookmarkStart w:id="992" w:name="Tc_r-69uh_pJ0KqWHCCbi-Afg_1_2"/>
      <w:bookmarkStart w:id="993" w:name="Tc__b9YyoIGCUKvG38claYacQ_5_11"/>
      <w:bookmarkStart w:id="994" w:name="Tc_9K93gJY-IU6M3v8rj3PLAA_5_8"/>
      <w:bookmarkStart w:id="995" w:name="Tc_tOzZlv8-OUaoMdvzHjv4Ug_5_5"/>
      <w:bookmarkStart w:id="996" w:name="Tc_a3fpKommO0K93vGuDY22KA_5_2"/>
      <w:bookmarkStart w:id="997" w:name="Tc_iGCeEh3Az0CylJHuBMpgMA_4_9"/>
      <w:bookmarkStart w:id="998" w:name="Tc_ywrkhGKnuUGbGTfIbwg8zw_4_6"/>
      <w:bookmarkStart w:id="999" w:name="Tc_c9pbgR2yr0SMs_H9IuMklA_4_0"/>
      <w:bookmarkStart w:id="1000" w:name="Tc_6gptENH2PUiJ0SjR1eJjTw_3_9"/>
      <w:bookmarkStart w:id="1001" w:name="Tc_h5pmWryMP0a-ZNlKB6NJoA_3_6"/>
      <w:bookmarkStart w:id="1002" w:name="Tc_PiF3twcJhEyI4lfSN_iNcA_3_0"/>
      <w:bookmarkStart w:id="1003" w:name="Tc_fuiHaFlkm0KoVbannj-tpA_2_11"/>
      <w:bookmarkStart w:id="1004" w:name="Tc_PB6DUaPKckGIz8iPv_HxzA_2_8"/>
      <w:bookmarkStart w:id="1005" w:name="Tc_Qkvbb6g2PUOt_jmLMpeeKA_2_5"/>
      <w:bookmarkStart w:id="1006" w:name="Tc_7_wMWJeLDUSd_H_pgS_ALA_2_2"/>
      <w:bookmarkStart w:id="1007" w:name="Tc_dBGkl8VrokmjIGMbxoISZQ_2_0"/>
      <w:bookmarkStart w:id="1008" w:name="Tc_4vy-ONhz1kKUV286jnsntg_1_11"/>
      <w:bookmarkStart w:id="1009" w:name="Tc_KhpqhCHNT0OU3zsPo7vsig_1_8"/>
      <w:bookmarkStart w:id="1010" w:name="Tc_cS87SCQUWU20qjfUuOA5nw_1_5"/>
      <w:bookmarkStart w:id="1011" w:name="Tc_U2VICoGaSUKy9cvnotV75g_1_2"/>
      <w:bookmarkStart w:id="1012" w:name="a3RESTRUCTURINGACTIVITIES_277608"/>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r>
        <w:rPr>
          <w:rFonts w:ascii="Times New Roman;Times;serif" w:hAnsi="Times New Roman;Times;serif"/>
          <w:b/>
          <w:sz w:val="20"/>
        </w:rPr>
        <w:t>(4) REALIGNMENT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fiscal 2025, the Company completed a targeted organizational realignment to better align operations and commercial teams, reduce layers of management, and enhance the speed and agility of decision-making across the business. These actions resulted in pre-tax cash charges of $16,066, of which $15,390 was included in “Realignment charges” and $676 was included in “</w:t>
      </w:r>
      <w:r>
        <w:rPr>
          <w:rFonts w:ascii="Times New Roman;Times;serif" w:hAnsi="Times New Roman;Times;serif"/>
          <w:b w:val="false"/>
          <w:i w:val="false"/>
          <w:caps w:val="false"/>
          <w:smallCaps w:val="false"/>
          <w:sz w:val="20"/>
        </w:rPr>
        <w:t>Product cost of sales</w:t>
      </w:r>
      <w:r>
        <w:rPr>
          <w:rFonts w:ascii="Times New Roman;Times;serif" w:hAnsi="Times New Roman;Times;serif"/>
          <w:sz w:val="20"/>
        </w:rPr>
        <w:t>” in the Consolidated Statements of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fiscal year ended December 27, 2025, the Company recorded the following pre-tax expenses related to realignment activities:</w:t>
      </w:r>
    </w:p>
    <w:p>
      <w:pPr>
        <w:pStyle w:val="TextBody"/>
        <w:bidi w:val="0"/>
        <w:spacing w:before="0" w:after="0"/>
        <w:ind w:left="0" w:right="0" w:hanging="0"/>
        <w:jc w:val="left"/>
        <w:rPr/>
      </w:pPr>
      <w:r>
        <w:rPr/>
        <w:t>​</w:t>
      </w:r>
    </w:p>
    <w:tbl>
      <w:tblPr>
        <w:tblW w:w="7642" w:type="dxa"/>
        <w:jc w:val="left"/>
        <w:tblInd w:w="0" w:type="dxa"/>
        <w:tblLayout w:type="fixed"/>
        <w:tblCellMar>
          <w:top w:w="0" w:type="dxa"/>
          <w:left w:w="0" w:type="dxa"/>
          <w:bottom w:w="0" w:type="dxa"/>
          <w:right w:w="0" w:type="dxa"/>
        </w:tblCellMar>
      </w:tblPr>
      <w:tblGrid>
        <w:gridCol w:w="3196"/>
        <w:gridCol w:w="109"/>
        <w:gridCol w:w="337"/>
        <w:gridCol w:w="879"/>
        <w:gridCol w:w="109"/>
        <w:gridCol w:w="274"/>
        <w:gridCol w:w="717"/>
        <w:gridCol w:w="109"/>
        <w:gridCol w:w="249"/>
        <w:gridCol w:w="652"/>
        <w:gridCol w:w="109"/>
        <w:gridCol w:w="196"/>
        <w:gridCol w:w="706"/>
      </w:tblGrid>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Corporate</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and other employee benefit costs</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3,423</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2,940</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11,267</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Contract/lease termination</w:t>
            </w:r>
          </w:p>
        </w:tc>
        <w:tc>
          <w:tcPr>
            <w:tcW w:w="109"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commitment losses</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3,475</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3,475</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8,222</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2,940</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16,066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Changes in liabilities recorded related to realignment activities were as follows:</w:t>
      </w:r>
    </w:p>
    <w:p>
      <w:pPr>
        <w:pStyle w:val="TextBody"/>
        <w:bidi w:val="0"/>
        <w:spacing w:before="0" w:after="0"/>
        <w:ind w:left="0" w:right="0" w:hanging="0"/>
        <w:jc w:val="left"/>
        <w:rPr/>
      </w:pPr>
      <w:r>
        <w:rPr/>
        <w:t>​</w:t>
      </w:r>
    </w:p>
    <w:tbl>
      <w:tblPr>
        <w:tblW w:w="9126" w:type="dxa"/>
        <w:jc w:val="left"/>
        <w:tblInd w:w="0" w:type="dxa"/>
        <w:tblLayout w:type="fixed"/>
        <w:tblCellMar>
          <w:top w:w="0" w:type="dxa"/>
          <w:left w:w="0" w:type="dxa"/>
          <w:bottom w:w="0" w:type="dxa"/>
          <w:right w:w="0" w:type="dxa"/>
        </w:tblCellMar>
      </w:tblPr>
      <w:tblGrid>
        <w:gridCol w:w="3196"/>
        <w:gridCol w:w="346"/>
        <w:gridCol w:w="412"/>
        <w:gridCol w:w="728"/>
        <w:gridCol w:w="346"/>
        <w:gridCol w:w="265"/>
        <w:gridCol w:w="816"/>
        <w:gridCol w:w="346"/>
        <w:gridCol w:w="270"/>
        <w:gridCol w:w="870"/>
        <w:gridCol w:w="346"/>
        <w:gridCol w:w="286"/>
        <w:gridCol w:w="899"/>
      </w:tblGrid>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Recognized</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Costs Paid or</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Realignment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Otherwise</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Settled</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and other employee benefit costs</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11,267</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(6,558)</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4,709</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Contract/lease termination</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(936)</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commitment losses</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3,475</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3,475</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w:t>
            </w:r>
          </w:p>
        </w:tc>
        <w:tc>
          <w:tcPr>
            <w:tcW w:w="346" w:type="dxa"/>
            <w:tcBorders/>
            <w:vAlign w:val="center"/>
          </w:tcPr>
          <w:p>
            <w:pPr>
              <w:pStyle w:val="TableContents"/>
              <w:bidi w:val="0"/>
              <w:spacing w:before="0" w:after="1"/>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(7,494)</w:t>
            </w:r>
          </w:p>
        </w:tc>
        <w:tc>
          <w:tcPr>
            <w:tcW w:w="346" w:type="dxa"/>
            <w:tcBorders/>
            <w:vAlign w:val="center"/>
          </w:tcPr>
          <w:p>
            <w:pPr>
              <w:pStyle w:val="TableContents"/>
              <w:bidi w:val="0"/>
              <w:spacing w:before="0" w:after="1"/>
              <w:ind w:left="0" w:right="0" w:hanging="0"/>
              <w:jc w:val="righ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8,572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third quarter of fiscal 2023, management initiated a plan to streamline segment support across the Company and reduce costs through an organizational realignment program (the “Realignment Program”). The Realignment Program included a reduction in force through a voluntary early retirement program and other headcount reduction actions, all of which were completed as of December 30, 2023. The Board of Directors authorized the incurrence of cash charges up to $36,000 in connection with the Realignment Program.</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013" w:name="Tc_hhRqyTUfVUmYidcbI8ioWQ_2_11"/>
      <w:bookmarkStart w:id="1014" w:name="Tc_AuJtYYAGXEKFgyUspFHGOg_2_8"/>
      <w:bookmarkStart w:id="1015" w:name="Tc_1lHW6a_jskGxT4_L6d6lZw_2_5"/>
      <w:bookmarkStart w:id="1016" w:name="Tc_7T0x_Bd860S3pyRsyrpHyg_2_2"/>
      <w:bookmarkStart w:id="1017" w:name="Tc_c-0yNICukEaKi6DT5cc21w_2_0"/>
      <w:bookmarkStart w:id="1018" w:name="Tc_WwwPQUlg80m29x44BdsHTQ_1_11"/>
      <w:bookmarkStart w:id="1019" w:name="Tc_tkrKgLbhaUqYKnlKPb366A_1_8"/>
      <w:bookmarkStart w:id="1020" w:name="Tc_odK7g8Ab7EeZNHA8Q-Z7rw_1_5"/>
      <w:bookmarkStart w:id="1021" w:name="Tc_SMNCEy4QiUWsbs_OxpMt0A_1_2"/>
      <w:bookmarkEnd w:id="1013"/>
      <w:bookmarkEnd w:id="1014"/>
      <w:bookmarkEnd w:id="1015"/>
      <w:bookmarkEnd w:id="1016"/>
      <w:bookmarkEnd w:id="1017"/>
      <w:bookmarkEnd w:id="1018"/>
      <w:bookmarkEnd w:id="1019"/>
      <w:bookmarkEnd w:id="1020"/>
      <w:bookmarkEnd w:id="1021"/>
      <w:r>
        <w:rPr>
          <w:rFonts w:ascii="Times New Roman;Times;serif" w:hAnsi="Times New Roman;Times;serif"/>
          <w:sz w:val="20"/>
        </w:rPr>
        <w:t>During the fiscal year ended December 30, 2023, the Company recorded the following pre-tax expenses, included in “Realignment charges” in the Consolidated Statements of Earnings, related to the Realignment Program:</w:t>
      </w:r>
    </w:p>
    <w:p>
      <w:pPr>
        <w:pStyle w:val="TextBody"/>
        <w:bidi w:val="0"/>
        <w:spacing w:before="0" w:after="0"/>
        <w:ind w:left="0" w:right="0" w:hanging="0"/>
        <w:jc w:val="left"/>
        <w:rPr/>
      </w:pPr>
      <w:r>
        <w:rPr/>
        <w:t>​</w:t>
      </w:r>
    </w:p>
    <w:tbl>
      <w:tblPr>
        <w:tblW w:w="7642" w:type="dxa"/>
        <w:jc w:val="left"/>
        <w:tblInd w:w="0" w:type="dxa"/>
        <w:tblLayout w:type="fixed"/>
        <w:tblCellMar>
          <w:top w:w="0" w:type="dxa"/>
          <w:left w:w="0" w:type="dxa"/>
          <w:bottom w:w="0" w:type="dxa"/>
          <w:right w:w="0" w:type="dxa"/>
        </w:tblCellMar>
      </w:tblPr>
      <w:tblGrid>
        <w:gridCol w:w="3196"/>
        <w:gridCol w:w="109"/>
        <w:gridCol w:w="299"/>
        <w:gridCol w:w="917"/>
        <w:gridCol w:w="109"/>
        <w:gridCol w:w="274"/>
        <w:gridCol w:w="717"/>
        <w:gridCol w:w="109"/>
        <w:gridCol w:w="249"/>
        <w:gridCol w:w="652"/>
        <w:gridCol w:w="109"/>
        <w:gridCol w:w="196"/>
        <w:gridCol w:w="706"/>
      </w:tblGrid>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Corporate</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and other employee benefit costs</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17,260</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9,101</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35,210</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022" w:name="Tc_tuK7dzkMnEC_-XDtMzvqOg_6_5"/>
      <w:bookmarkStart w:id="1023" w:name="Tc_lXLzjt25Y06XNurD8tPj2w_6_2"/>
      <w:bookmarkStart w:id="1024" w:name="Tc_IrXf7_sitEW3tJo6i4qqWA_6_0"/>
      <w:bookmarkStart w:id="1025" w:name="Tc_FEk_AYCTbUWAGNsZvwjR9Q_5_0"/>
      <w:bookmarkStart w:id="1026" w:name="Tc_UE4OQblHUUGN6ivdfnWCpA_4_0"/>
      <w:bookmarkStart w:id="1027" w:name="Tc_dBMz3hhM0UKkBnG3r4AsJQ_3_5"/>
      <w:bookmarkStart w:id="1028" w:name="Tc_cdX52oUVEUudTir7olEdcA_3_2"/>
      <w:bookmarkStart w:id="1029" w:name="Tc_EXoqQoR55ke8abXx2wskLw_3_0"/>
      <w:bookmarkStart w:id="1030" w:name="Tc_WfUG4D6VlUitavePON0R7Q_2_5"/>
      <w:bookmarkStart w:id="1031" w:name="Tc_Yxn9aBFxeUyPuba3q0xnQw_2_2"/>
      <w:bookmarkStart w:id="1032" w:name="Tc_H4CkIk1Y1U-W0cUcgYa57A_1_5"/>
      <w:bookmarkStart w:id="1033" w:name="Tc_Rm2_wr51c0-nxWgD1riEXw_1_2"/>
      <w:bookmarkStart w:id="1034" w:name="a5INVENTORIES_862038"/>
      <w:bookmarkEnd w:id="1022"/>
      <w:bookmarkEnd w:id="1023"/>
      <w:bookmarkEnd w:id="1024"/>
      <w:bookmarkEnd w:id="1025"/>
      <w:bookmarkEnd w:id="1026"/>
      <w:bookmarkEnd w:id="1027"/>
      <w:bookmarkEnd w:id="1028"/>
      <w:bookmarkEnd w:id="1029"/>
      <w:bookmarkEnd w:id="1030"/>
      <w:bookmarkEnd w:id="1031"/>
      <w:bookmarkEnd w:id="1032"/>
      <w:bookmarkEnd w:id="1033"/>
      <w:bookmarkEnd w:id="1034"/>
      <w:r>
        <w:rPr>
          <w:rFonts w:ascii="Times New Roman;Times;serif" w:hAnsi="Times New Roman;Times;serif"/>
          <w:b/>
          <w:sz w:val="20"/>
        </w:rPr>
        <w:t>(5) 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inventories consisted of the following:</w:t>
      </w:r>
    </w:p>
    <w:p>
      <w:pPr>
        <w:pStyle w:val="TextBody"/>
        <w:bidi w:val="0"/>
        <w:spacing w:before="0" w:after="0"/>
        <w:ind w:left="0" w:right="0" w:hanging="0"/>
        <w:jc w:val="left"/>
        <w:rPr/>
      </w:pPr>
      <w:r>
        <w:rPr/>
        <w:t>​</w:t>
      </w:r>
    </w:p>
    <w:tbl>
      <w:tblPr>
        <w:tblW w:w="5361" w:type="dxa"/>
        <w:jc w:val="left"/>
        <w:tblInd w:w="0" w:type="dxa"/>
        <w:tblLayout w:type="fixed"/>
        <w:tblCellMar>
          <w:top w:w="0" w:type="dxa"/>
          <w:left w:w="0" w:type="dxa"/>
          <w:bottom w:w="0" w:type="dxa"/>
          <w:right w:w="0" w:type="dxa"/>
        </w:tblCellMar>
      </w:tblPr>
      <w:tblGrid>
        <w:gridCol w:w="2581"/>
        <w:gridCol w:w="109"/>
        <w:gridCol w:w="252"/>
        <w:gridCol w:w="888"/>
        <w:gridCol w:w="346"/>
        <w:gridCol w:w="234"/>
        <w:gridCol w:w="951"/>
      </w:tblGrid>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Raw materials and purchased parts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253,594</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231,811</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36,388</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35,466</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Finished and manufactured goods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276,414</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322,986</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inventories</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566,396</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590,263</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the Company’s inventory reserves were $68,001 and $41,146,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5" w:name="Tc_7Ene7JqR8EuhGivUqSmR9Q_11_5"/>
      <w:bookmarkStart w:id="1036" w:name="Tc_h-65gjObqEqDYPwjvBM5GQ_11_2"/>
      <w:bookmarkStart w:id="1037" w:name="Tc_wMNVXXKLjUaeWxhsxTjHEw_11_0"/>
      <w:bookmarkStart w:id="1038" w:name="Tc_ObonWiLt8kWYKKUSnBy9pg_10_0"/>
      <w:bookmarkStart w:id="1039" w:name="Tc_xpBcYgepUU6N4mTocFTaDQ_9_0"/>
      <w:bookmarkStart w:id="1040" w:name="Tc_iCd_9ySZo0ujmUDVJZsUPQ_8_0"/>
      <w:bookmarkStart w:id="1041" w:name="Tc_N60dWVgHW0S6QePrO7ishw_7_0"/>
      <w:bookmarkStart w:id="1042" w:name="Tc_Sg1Obr1tyUSYjI2ItGMY4w_6_0"/>
      <w:bookmarkStart w:id="1043" w:name="Tc_CAwiiRXRzUqjxWIvnjtRpQ_5_0"/>
      <w:bookmarkStart w:id="1044" w:name="Tc_KdvdX9OjWEe1Ym4XltpEAA_4_0"/>
      <w:bookmarkStart w:id="1045" w:name="Tc_Zn3GdARhFE65Cb3j1ol6DQ_3_5"/>
      <w:bookmarkStart w:id="1046" w:name="Tc_bYgRTWdRmkW80yJk6l0rFw_3_2"/>
      <w:bookmarkStart w:id="1047" w:name="Tc_vrA2LvNmlUinDfM4_myOUA_3_0"/>
      <w:bookmarkStart w:id="1048" w:name="Tc_JSki1bgVUEqBaTMN0-c_jA_2_5"/>
      <w:bookmarkStart w:id="1049" w:name="Tc_0Xc-TJSZdEi5hKWfWXacIQ_2_2"/>
      <w:bookmarkStart w:id="1050" w:name="Tc_Q1wflRK7ZEqRrUtrxn5Yyw_1_5"/>
      <w:bookmarkStart w:id="1051" w:name="Tc_VufthZ1EuUKWUg0LIthYXw_1_2"/>
      <w:bookmarkStart w:id="1052" w:name="a6PROPERTYPLANTANDEQUIPMENT_30915"/>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b/>
          <w:sz w:val="20"/>
        </w:rPr>
        <w:t>(6) PROPERTY, PLANT,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property, plant, and equipment, at cost, consisted of the following:</w:t>
      </w:r>
    </w:p>
    <w:p>
      <w:pPr>
        <w:pStyle w:val="TextBody"/>
        <w:bidi w:val="0"/>
        <w:spacing w:before="0" w:after="0"/>
        <w:ind w:left="0" w:right="0" w:hanging="0"/>
        <w:jc w:val="left"/>
        <w:rPr/>
      </w:pPr>
      <w:r>
        <w:rPr/>
        <w:t>​</w:t>
      </w:r>
    </w:p>
    <w:tbl>
      <w:tblPr>
        <w:tblW w:w="6243" w:type="dxa"/>
        <w:jc w:val="left"/>
        <w:tblInd w:w="0" w:type="dxa"/>
        <w:tblLayout w:type="fixed"/>
        <w:tblCellMar>
          <w:top w:w="0" w:type="dxa"/>
          <w:left w:w="0" w:type="dxa"/>
          <w:bottom w:w="0" w:type="dxa"/>
          <w:right w:w="0" w:type="dxa"/>
        </w:tblCellMar>
      </w:tblPr>
      <w:tblGrid>
        <w:gridCol w:w="3226"/>
        <w:gridCol w:w="346"/>
        <w:gridCol w:w="218"/>
        <w:gridCol w:w="922"/>
        <w:gridCol w:w="346"/>
        <w:gridCol w:w="217"/>
        <w:gridCol w:w="968"/>
      </w:tblGrid>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Land and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135,997</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118,199</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Buildings and improvements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430,563</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405,710</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804,232</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738,329</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Transportation equipment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31,749</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29,825</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Office furniture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133,338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135,344</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 in progress</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104,729</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74,610</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property, plant, and equipment, at cost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1,640,608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9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1,502,017</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(966,745)</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(913,045)</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673,863</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588,972</w:t>
            </w:r>
          </w:p>
        </w:tc>
      </w:tr>
    </w:tbl>
    <w:p>
      <w:pPr>
        <w:pStyle w:val="TextBody"/>
        <w:bidi w:val="0"/>
        <w:spacing w:before="0" w:after="240"/>
        <w:ind w:left="0" w:right="0" w:firstLine="72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Depreciation expense for the fiscal years ended December 27, 2025, December 28, 2024, and December 30, 2023 was $77,257, $81,181, and $78,138, respectively.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53" w:name="_3ea65fcc_a4bc_45b8_8a8f_d07a0819740a"/>
      <w:bookmarkStart w:id="1054" w:name="Tc_klwnCCemIE6ZDjZP6R3ynQ_7_8"/>
      <w:bookmarkStart w:id="1055" w:name="Tc_EoQZHiH9DE-Ojgy6jp8XqA_7_5"/>
      <w:bookmarkStart w:id="1056" w:name="Tc_MF3yKuD7KE6DT1ninnt1Gg_7_2"/>
      <w:bookmarkStart w:id="1057" w:name="Tc_hxr32tbZbkSIJFTjpyL98g_7_0"/>
      <w:bookmarkStart w:id="1058" w:name="Tc_2vKIeDUxQUmpVf2cH-nzbA_6_0"/>
      <w:bookmarkStart w:id="1059" w:name="Tc_JCZgXZegnEaxsVxk3GnXTQ_5_6"/>
      <w:bookmarkStart w:id="1060" w:name="Tc_HWI0-10NEkaGvlaw7v_dDQ_4_0"/>
      <w:bookmarkStart w:id="1061" w:name="Tc_3v-KvT0ep0C4OkxrMTiFhw_3_0"/>
      <w:bookmarkStart w:id="1062" w:name="Tc_gVqwlYYifESauYFSl2LNuw_2_8"/>
      <w:bookmarkStart w:id="1063" w:name="Tc_QaXqk3Ib3E2gObAoYGxarw_2_5"/>
      <w:bookmarkStart w:id="1064" w:name="Tc_sRRPsLHSukOaRtYoaBNl-A_2_2"/>
      <w:bookmarkStart w:id="1065" w:name="Tc_eHvaVXn0o0uVypLzNl2JPg_2_0"/>
      <w:bookmarkStart w:id="1066" w:name="Tc_EjfFRJkSNUKsXkIo5fK00Q_1_8"/>
      <w:bookmarkStart w:id="1067" w:name="Tc_GFnckANsbE-ZidL4Np9r2A_1_5"/>
      <w:bookmarkStart w:id="1068" w:name="Tc_M1Eq5mYoKkW-1S7ko0ONeg_1_2"/>
      <w:bookmarkStart w:id="1069" w:name="_42648dd4_1d33_40ee_939c_6696f392aa19"/>
      <w:bookmarkStart w:id="1070" w:name="a7GOODWILLANDINTANGIBLEASSETS_291711"/>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b/>
          <w:sz w:val="20"/>
        </w:rPr>
        <w:t>(7) GOODWILL AND OTHER INTANGIBLE ASSETS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the carrying amounts of goodwill by segment were as follows:</w:t>
      </w:r>
    </w:p>
    <w:tbl>
      <w:tblPr>
        <w:tblW w:w="6558" w:type="dxa"/>
        <w:jc w:val="left"/>
        <w:tblInd w:w="0" w:type="dxa"/>
        <w:tblLayout w:type="fixed"/>
        <w:tblCellMar>
          <w:top w:w="0" w:type="dxa"/>
          <w:left w:w="0" w:type="dxa"/>
          <w:bottom w:w="0" w:type="dxa"/>
          <w:right w:w="0" w:type="dxa"/>
        </w:tblCellMar>
      </w:tblPr>
      <w:tblGrid>
        <w:gridCol w:w="2956"/>
        <w:gridCol w:w="109"/>
        <w:gridCol w:w="268"/>
        <w:gridCol w:w="948"/>
        <w:gridCol w:w="109"/>
        <w:gridCol w:w="196"/>
        <w:gridCol w:w="811"/>
        <w:gridCol w:w="109"/>
        <w:gridCol w:w="196"/>
        <w:gridCol w:w="856"/>
      </w:tblGrid>
      <w:tr>
        <w:trPr/>
        <w:tc>
          <w:tcPr>
            <w:tcW w:w="2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balance as of December 28, 2024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470,988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322,241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793,229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impairment losses</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(120,000)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(169,382)</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28, 2024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421,606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202,241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623,847</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Impairment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(64,869)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(64,869)</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11,976</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27, 2025</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367,587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203,367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570,954</w:t>
            </w:r>
          </w:p>
        </w:tc>
      </w:tr>
    </w:tbl>
    <w:p>
      <w:pPr>
        <w:pStyle w:val="TextBody"/>
        <w:bidi w:val="0"/>
        <w:spacing w:before="0" w:after="0"/>
        <w:ind w:left="0" w:right="0" w:hanging="0"/>
        <w:jc w:val="left"/>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1071" w:name="Tc_cxRsUl29k0CodyyvsjlhWw_12_11"/>
      <w:bookmarkStart w:id="1072" w:name="Tc_QVhWOwrxzUm4iLycE6JdLg_12_8"/>
      <w:bookmarkStart w:id="1073" w:name="Tc__H2ChzHShk2KRId-yJbGLQ_12_5"/>
      <w:bookmarkStart w:id="1074" w:name="Tc_ief--nL4Y0KEdRSTvRCi9A_12_2"/>
      <w:bookmarkStart w:id="1075" w:name="Tc__p6xOhKwc0O1WeGHlvLW1g_11_12"/>
      <w:bookmarkStart w:id="1076" w:name="Tc_4JmetVfrvkKwRA53mQ-0fQ_11_6"/>
      <w:bookmarkStart w:id="1077" w:name="Tc_nYoVs56NrEWAK6CDTH_QWg_11_0"/>
      <w:bookmarkStart w:id="1078" w:name="Tc_w2n_oYJxq0W0Rf-8W0uWxA_10_0"/>
      <w:bookmarkStart w:id="1079" w:name="Tc_yYubl8tOnkSoAM5svopc1w_9_0"/>
      <w:bookmarkStart w:id="1080" w:name="Tc_4t_Rja3r-UmCWh4ksnd3wQ_8_6"/>
      <w:bookmarkStart w:id="1081" w:name="Tc_vCH1f-Kew0CWriazy9C4hw_8_3"/>
      <w:bookmarkStart w:id="1082" w:name="Tc_xWmRJXZ2gkm_HtQapDMa1w_8_0"/>
      <w:bookmarkStart w:id="1083" w:name="Tc_yEZJksePlkmWJk4KjuvvTA_7_0"/>
      <w:bookmarkStart w:id="1084" w:name="Tc_xd4DK-oq9UOY1nqzk85MsA_6_11"/>
      <w:bookmarkStart w:id="1085" w:name="Tc_3jzr8oemx0-e1ZtBeto7uA_6_8"/>
      <w:bookmarkStart w:id="1086" w:name="Tc_skMR8hGr8k6pueGZod2klw_6_5"/>
      <w:bookmarkStart w:id="1087" w:name="Tc_64t_csr8GkewKpa50vtJSg_6_2"/>
      <w:bookmarkStart w:id="1088" w:name="Tc_BYhAHNz9Iky7sDuxZsaLoQ_6_0"/>
      <w:bookmarkStart w:id="1089" w:name="Tc_OCyJaNYkY0yM4inAod-FVg_5_0"/>
      <w:bookmarkStart w:id="1090" w:name="Tc_ZLYXca5H9kSN3keexjE3zQ_4_11"/>
      <w:bookmarkStart w:id="1091" w:name="Tc_S_QC2zRyZkSnu0tfSVJRRA_4_8"/>
      <w:bookmarkStart w:id="1092" w:name="Tc_5YnyE0cLU0aLV9DKgZuG1g_4_5"/>
      <w:bookmarkStart w:id="1093" w:name="Tc_j4fd5652jEuhmCfVmWBLVw_4_2"/>
      <w:bookmarkStart w:id="1094" w:name="Tc_h1J0aIXLDkWwdytZY3jrkA_3_11"/>
      <w:bookmarkStart w:id="1095" w:name="Tc_SKvPDPeGk0C8wHb1oeuyhA_3_8"/>
      <w:bookmarkStart w:id="1096" w:name="Tc_Qwgk-w3sQkq4MfVue_0E8A_3_5"/>
      <w:bookmarkStart w:id="1097" w:name="Tc__OFkedC1cUOXMjhfzHpFuw_3_2"/>
      <w:bookmarkStart w:id="1098" w:name="Tc_n2fpEFTIo0-cmz8yI22jAQ_2_8"/>
      <w:bookmarkStart w:id="1099" w:name="Tc_3WrvcKYnkE-4zRBjcN1s-A_2_2"/>
      <w:bookmarkStart w:id="1100" w:name="Tc_90Rl4-zOf0iR2rcF8xgCaQ_1_8"/>
      <w:bookmarkStart w:id="1101" w:name="Tc_5d00cSiCy0q34ydt-fgNBQ_1_2"/>
      <w:bookmarkStart w:id="1102" w:name="Tc_99l-6L7fFUa97YVOwm7XPA_8_8"/>
      <w:bookmarkStart w:id="1103" w:name="Tc_vxlCVtBoREWAot4VhAVSSg_8_5"/>
      <w:bookmarkStart w:id="1104" w:name="Tc_jkmyoL9FYkWW_I5a5I6IxA_8_2"/>
      <w:bookmarkStart w:id="1105" w:name="Tc_sz8bYl6srkuZYXce-Tiyug_8_0"/>
      <w:bookmarkStart w:id="1106" w:name="Tc_UOdNv7ZicUaF1kyEdNVFlw_7_0"/>
      <w:bookmarkStart w:id="1107" w:name="Tc_eI56An4l3EuT8_RJmxNMUQ_6_6"/>
      <w:bookmarkStart w:id="1108" w:name="Tc_vhnwD6bh2UKotludTZiPig_6_0"/>
      <w:bookmarkStart w:id="1109" w:name="Tc_efJ9T2o6wkGuBKcnr0ZxNg_5_3"/>
      <w:bookmarkStart w:id="1110" w:name="Tc_LVvDWSzXHkCWU271uUw_pw_5_0"/>
      <w:bookmarkStart w:id="1111" w:name="Tc_ILm5IbeQCE6D3v0pAuI-PA_4_0"/>
      <w:bookmarkStart w:id="1112" w:name="Tc_DyiRYaOENE2tx3Dcf7skoQ_3_0"/>
      <w:bookmarkStart w:id="1113" w:name="Tc_qq21uQfbS0ShSeoZ4NPJKA_2_8"/>
      <w:bookmarkStart w:id="1114" w:name="Tc_Fj7CizAbhUGzikX65gsb2A_2_5"/>
      <w:bookmarkStart w:id="1115" w:name="Tc_dC3cSUTrXEuFwMdQ2XyLCQ_2_2"/>
      <w:bookmarkStart w:id="1116" w:name="Tc_VTs6U20t3UWdbT_Wzz8gvQ_2_0"/>
      <w:bookmarkStart w:id="1117" w:name="Tc_i_svb5i2I0CKT8wPfrWncg_1_8"/>
      <w:bookmarkStart w:id="1118" w:name="Tc_NP4W4CRXmESfMs4J_njy_A_1_5"/>
      <w:bookmarkStart w:id="1119" w:name="Tc_YeX5CUO5_UuLZpKIZVhCLw_1_2"/>
      <w:bookmarkStart w:id="1120" w:name="Tc_cxRsUl29k0CodyyvsjlhWw_12_11"/>
      <w:bookmarkStart w:id="1121" w:name="Tc_QVhWOwrxzUm4iLycE6JdLg_12_8"/>
      <w:bookmarkStart w:id="1122" w:name="Tc__H2ChzHShk2KRId-yJbGLQ_12_5"/>
      <w:bookmarkStart w:id="1123" w:name="Tc_ief--nL4Y0KEdRSTvRCi9A_12_2"/>
      <w:bookmarkStart w:id="1124" w:name="Tc__p6xOhKwc0O1WeGHlvLW1g_11_12"/>
      <w:bookmarkStart w:id="1125" w:name="Tc_4JmetVfrvkKwRA53mQ-0fQ_11_6"/>
      <w:bookmarkStart w:id="1126" w:name="Tc_nYoVs56NrEWAK6CDTH_QWg_11_0"/>
      <w:bookmarkStart w:id="1127" w:name="Tc_w2n_oYJxq0W0Rf-8W0uWxA_10_0"/>
      <w:bookmarkStart w:id="1128" w:name="Tc_yYubl8tOnkSoAM5svopc1w_9_0"/>
      <w:bookmarkStart w:id="1129" w:name="Tc_4t_Rja3r-UmCWh4ksnd3wQ_8_6"/>
      <w:bookmarkStart w:id="1130" w:name="Tc_vCH1f-Kew0CWriazy9C4hw_8_3"/>
      <w:bookmarkStart w:id="1131" w:name="Tc_xWmRJXZ2gkm_HtQapDMa1w_8_0"/>
      <w:bookmarkStart w:id="1132" w:name="Tc_yEZJksePlkmWJk4KjuvvTA_7_0"/>
      <w:bookmarkStart w:id="1133" w:name="Tc_xd4DK-oq9UOY1nqzk85MsA_6_11"/>
      <w:bookmarkStart w:id="1134" w:name="Tc_3jzr8oemx0-e1ZtBeto7uA_6_8"/>
      <w:bookmarkStart w:id="1135" w:name="Tc_skMR8hGr8k6pueGZod2klw_6_5"/>
      <w:bookmarkStart w:id="1136" w:name="Tc_64t_csr8GkewKpa50vtJSg_6_2"/>
      <w:bookmarkStart w:id="1137" w:name="Tc_BYhAHNz9Iky7sDuxZsaLoQ_6_0"/>
      <w:bookmarkStart w:id="1138" w:name="Tc_OCyJaNYkY0yM4inAod-FVg_5_0"/>
      <w:bookmarkStart w:id="1139" w:name="Tc_ZLYXca5H9kSN3keexjE3zQ_4_11"/>
      <w:bookmarkStart w:id="1140" w:name="Tc_S_QC2zRyZkSnu0tfSVJRRA_4_8"/>
      <w:bookmarkStart w:id="1141" w:name="Tc_5YnyE0cLU0aLV9DKgZuG1g_4_5"/>
      <w:bookmarkStart w:id="1142" w:name="Tc_j4fd5652jEuhmCfVmWBLVw_4_2"/>
      <w:bookmarkStart w:id="1143" w:name="Tc_h1J0aIXLDkWwdytZY3jrkA_3_11"/>
      <w:bookmarkStart w:id="1144" w:name="Tc_SKvPDPeGk0C8wHb1oeuyhA_3_8"/>
      <w:bookmarkStart w:id="1145" w:name="Tc_Qwgk-w3sQkq4MfVue_0E8A_3_5"/>
      <w:bookmarkStart w:id="1146" w:name="Tc__OFkedC1cUOXMjhfzHpFuw_3_2"/>
      <w:bookmarkStart w:id="1147" w:name="Tc_n2fpEFTIo0-cmz8yI22jAQ_2_8"/>
      <w:bookmarkStart w:id="1148" w:name="Tc_3WrvcKYnkE-4zRBjcN1s-A_2_2"/>
      <w:bookmarkStart w:id="1149" w:name="Tc_90Rl4-zOf0iR2rcF8xgCaQ_1_8"/>
      <w:bookmarkStart w:id="1150" w:name="Tc_5d00cSiCy0q34ydt-fgNBQ_1_2"/>
      <w:bookmarkStart w:id="1151" w:name="Tc_99l-6L7fFUa97YVOwm7XPA_8_8"/>
      <w:bookmarkStart w:id="1152" w:name="Tc_vxlCVtBoREWAot4VhAVSSg_8_5"/>
      <w:bookmarkStart w:id="1153" w:name="Tc_jkmyoL9FYkWW_I5a5I6IxA_8_2"/>
      <w:bookmarkStart w:id="1154" w:name="Tc_sz8bYl6srkuZYXce-Tiyug_8_0"/>
      <w:bookmarkStart w:id="1155" w:name="Tc_UOdNv7ZicUaF1kyEdNVFlw_7_0"/>
      <w:bookmarkStart w:id="1156" w:name="Tc_eI56An4l3EuT8_RJmxNMUQ_6_6"/>
      <w:bookmarkStart w:id="1157" w:name="Tc_vhnwD6bh2UKotludTZiPig_6_0"/>
      <w:bookmarkStart w:id="1158" w:name="Tc_efJ9T2o6wkGuBKcnr0ZxNg_5_3"/>
      <w:bookmarkStart w:id="1159" w:name="Tc_LVvDWSzXHkCWU271uUw_pw_5_0"/>
      <w:bookmarkStart w:id="1160" w:name="Tc_ILm5IbeQCE6D3v0pAuI-PA_4_0"/>
      <w:bookmarkStart w:id="1161" w:name="Tc_DyiRYaOENE2tx3Dcf7skoQ_3_0"/>
      <w:bookmarkStart w:id="1162" w:name="Tc_qq21uQfbS0ShSeoZ4NPJKA_2_8"/>
      <w:bookmarkStart w:id="1163" w:name="Tc_Fj7CizAbhUGzikX65gsb2A_2_5"/>
      <w:bookmarkStart w:id="1164" w:name="Tc_dC3cSUTrXEuFwMdQ2XyLCQ_2_2"/>
      <w:bookmarkStart w:id="1165" w:name="Tc_VTs6U20t3UWdbT_Wzz8gvQ_2_0"/>
      <w:bookmarkStart w:id="1166" w:name="Tc_i_svb5i2I0CKT8wPfrWncg_1_8"/>
      <w:bookmarkStart w:id="1167" w:name="Tc_NP4W4CRXmESfMs4J_njy_A_1_5"/>
      <w:bookmarkStart w:id="1168" w:name="Tc_YeX5CUO5_UuLZpKIZVhCLw_1_2"/>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tbl>
      <w:tblPr>
        <w:tblW w:w="6828" w:type="dxa"/>
        <w:jc w:val="left"/>
        <w:tblInd w:w="0" w:type="dxa"/>
        <w:tblLayout w:type="fixed"/>
        <w:tblCellMar>
          <w:top w:w="0" w:type="dxa"/>
          <w:left w:w="0" w:type="dxa"/>
          <w:bottom w:w="0" w:type="dxa"/>
          <w:right w:w="0" w:type="dxa"/>
        </w:tblCellMar>
      </w:tblPr>
      <w:tblGrid>
        <w:gridCol w:w="3226"/>
        <w:gridCol w:w="109"/>
        <w:gridCol w:w="268"/>
        <w:gridCol w:w="948"/>
        <w:gridCol w:w="109"/>
        <w:gridCol w:w="196"/>
        <w:gridCol w:w="811"/>
        <w:gridCol w:w="109"/>
        <w:gridCol w:w="196"/>
        <w:gridCol w:w="856"/>
      </w:tblGrid>
      <w:tr>
        <w:trPr/>
        <w:tc>
          <w:tcPr>
            <w:tcW w:w="3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Agriculture</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balance as of December 30, 2023</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478,663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323,683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802,346</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impairment losses</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(49,382)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(120,000)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(169,382)</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December 30, 2023</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429,281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203,683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632,964</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measurement period adjustment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Divestiture</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(1,509)</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(7,939)</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December 28, 2024</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421,606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202,241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623,847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second quarter of fiscal 2025, the Company identified triggering events that required interim goodwill impairment testing for certain reporting units within the Infrastructure segment. Due to the Company’s strategic exit from the North American solar tracker market, increased competitive pressures in Brazil, and uncertainty surrounding European policies, an interim goodwill impairment test was conducted for the Solar reporting unit. The fair value of the reporting unit was estimated using a discounted cash flow analysis, which required the Company to estimate the future cash flows as well as select a risk-adjusted discount rate to measure the present value of the anticipated cash flows. The carrying amount of this reporting unit exceeded its estimated fair value, resulting in a goodwill impairment charge of $41,869 within the Infrastructure segment. Additionally, due to a reduction in forecasted sales primarily resulting from general market weakness in Australia, an interim goodwill impairment test was also performed for the Access Systems reporting unit. Using a discounted cash flow analysis, the Company determined that the carrying amount exceeded its estimated fair value, resulting in a goodwill impairment charge of $23,000 within the Infrastructure segment.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third quarters of fiscal 2025 and fiscal 2024, the Company performed its annual goodwill impairment assessment utilizing a quantitative test on all of its reporting units, with measurement dates of August 30, 2025 and September 1, 2024, respectively. Based on discounted cash flow analyses, the estimated fair value of all reporting units exceeded their respective carrying values in both periods and no impairments were recorded.</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third quarter of fiscal 2023, the Company recognized impairment charges of $120,000 and $1,915 in the Agriculture and Infrastructure segments, respectively, using a discounted cash flow analysis, resulting from the Company’s annual goodwill impairment assessment as of September 2, 2023.</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Other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the components of other intangible assets were as follows:</w:t>
      </w:r>
    </w:p>
    <w:p>
      <w:pPr>
        <w:pStyle w:val="TextBody"/>
        <w:bidi w:val="0"/>
        <w:spacing w:before="0" w:after="0"/>
        <w:ind w:left="0" w:right="0" w:hanging="0"/>
        <w:jc w:val="left"/>
        <w:rPr/>
      </w:pPr>
      <w:r>
        <w:rPr/>
        <w:t>​</w:t>
      </w:r>
    </w:p>
    <w:tbl>
      <w:tblPr>
        <w:tblW w:w="7836" w:type="dxa"/>
        <w:jc w:val="left"/>
        <w:tblInd w:w="0" w:type="dxa"/>
        <w:tblLayout w:type="fixed"/>
        <w:tblCellMar>
          <w:top w:w="0" w:type="dxa"/>
          <w:left w:w="0" w:type="dxa"/>
          <w:bottom w:w="0" w:type="dxa"/>
          <w:right w:w="0" w:type="dxa"/>
        </w:tblCellMar>
      </w:tblPr>
      <w:tblGrid>
        <w:gridCol w:w="2581"/>
        <w:gridCol w:w="346"/>
        <w:gridCol w:w="196"/>
        <w:gridCol w:w="691"/>
        <w:gridCol w:w="346"/>
        <w:gridCol w:w="248"/>
        <w:gridCol w:w="878"/>
        <w:gridCol w:w="146"/>
        <w:gridCol w:w="196"/>
        <w:gridCol w:w="691"/>
        <w:gridCol w:w="346"/>
        <w:gridCol w:w="231"/>
        <w:gridCol w:w="940"/>
      </w:tblGrid>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c>
          <w:tcPr>
            <w:tcW w:w="146" w:type="dxa"/>
            <w:tcBorders/>
            <w:vAlign w:val="center"/>
          </w:tcPr>
          <w:p>
            <w:pPr>
              <w:pStyle w:val="TableContents"/>
              <w:bidi w:val="0"/>
              <w:spacing w:before="0" w:after="1"/>
              <w:ind w:left="0" w:right="0" w:hanging="0"/>
              <w:jc w:val="center"/>
              <w:rPr/>
            </w:pPr>
            <w:r>
              <w:rPr/>
              <w:t> </w:t>
            </w:r>
          </w:p>
        </w:tc>
        <w:tc>
          <w:tcPr>
            <w:tcW w:w="24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 2024</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4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14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Amortizing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center"/>
              <w:rPr/>
            </w:pPr>
            <w:r>
              <w:rPr/>
              <w:t>​</w:t>
            </w:r>
          </w:p>
        </w:tc>
        <w:tc>
          <w:tcPr>
            <w:tcW w:w="878"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940" w:type="dxa"/>
            <w:tcBorders/>
            <w:shd w:fill="CCEEFF" w:val="clear"/>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relationships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219,631</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165,514</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230,063</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166,516</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Patents and proprietary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28,166</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16,374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26,225</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13,829</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names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2,870</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4,430</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4,245</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Non-amortizing intangible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names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55,412</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57,738</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303,823</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182,482</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321,326</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187,244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weighted-average life of amortizing intangible assets is approximately three years. Amortization expense for the fiscal years ended December 27, 2025, December 28, 2024, and December 30, 2023 was $11,252, $14,214, and $19,455, respectively. Amortization expense is expected to average $9,166 </w:t>
      </w:r>
      <w:r>
        <w:rPr>
          <w:rFonts w:ascii="Times New Roman;Times;serif" w:hAnsi="Times New Roman;Times;serif"/>
          <w:b w:val="false"/>
          <w:i w:val="false"/>
          <w:caps w:val="false"/>
          <w:smallCaps w:val="false"/>
          <w:sz w:val="20"/>
        </w:rPr>
        <w:t>annually</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over</w:t>
      </w:r>
      <w:r>
        <w:rPr>
          <w:rFonts w:ascii="Times New Roman;Times;serif" w:hAnsi="Times New Roman;Times;serif"/>
          <w:sz w:val="20"/>
        </w:rPr>
        <w:t xml:space="preserve"> the </w:t>
      </w:r>
      <w:r>
        <w:rPr>
          <w:rFonts w:ascii="Times New Roman;Times;serif" w:hAnsi="Times New Roman;Times;serif"/>
          <w:b w:val="false"/>
          <w:i w:val="false"/>
          <w:caps w:val="false"/>
          <w:smallCaps w:val="false"/>
          <w:sz w:val="20"/>
        </w:rPr>
        <w:t>next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fiscal years, based on amortizing intangible assets reported as of December 27,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second quarter of fiscal 2025, based on identified triggering events discussed above, the Company performed an impairment test on indefinite-lived trade names associated with the Solar and Access Systems reporting units. Using the relief-from-royalty method, the Company determined that the carrying amounts of the trade names exceeded their estimated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fair values. As a result, </w:t>
      </w:r>
      <w:r>
        <w:rPr>
          <w:rFonts w:ascii="Times New Roman;Times;serif" w:hAnsi="Times New Roman;Times;serif"/>
          <w:b w:val="false"/>
          <w:i w:val="false"/>
          <w:caps w:val="false"/>
          <w:smallCaps w:val="false"/>
          <w:sz w:val="20"/>
        </w:rPr>
        <w:t>impairment charges</w:t>
      </w:r>
      <w:r>
        <w:rPr>
          <w:rFonts w:ascii="Times New Roman;Times;serif" w:hAnsi="Times New Roman;Times;serif"/>
          <w:sz w:val="20"/>
        </w:rPr>
        <w:t xml:space="preserve"> of $4,830 were recognized within the Infrastructure segment. Additionally, in the second quarter of fiscal 2025, an </w:t>
      </w:r>
      <w:r>
        <w:rPr>
          <w:rFonts w:ascii="Times New Roman;Times;serif" w:hAnsi="Times New Roman;Times;serif"/>
          <w:b w:val="false"/>
          <w:i w:val="false"/>
          <w:caps w:val="false"/>
          <w:smallCaps w:val="false"/>
          <w:sz w:val="20"/>
        </w:rPr>
        <w:t>impairment charge</w:t>
      </w:r>
      <w:r>
        <w:rPr>
          <w:rFonts w:ascii="Times New Roman;Times;serif" w:hAnsi="Times New Roman;Times;serif"/>
          <w:sz w:val="20"/>
        </w:rPr>
        <w:t xml:space="preserve"> of $1,395 was recognized within the Agriculture segment for a customer relationship intangible asset that was determined not to be recoverable.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third quarter of fiscal 2025 and fiscal 2024, the Company tested its indefinite-lived trade names for impairment as part of its annual impairment assessment, with measurement dates of August 30, 2025 and September 1, 2024, respectively. The values of each trade name were determined using the relief-from-royalty method, and no trade names were determined to be impaired in either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third quarter of fiscal 2023, using the relief-from-royalty method, the Company recognized an </w:t>
      </w:r>
      <w:r>
        <w:rPr>
          <w:rFonts w:ascii="Times New Roman;Times;serif" w:hAnsi="Times New Roman;Times;serif"/>
          <w:b w:val="false"/>
          <w:i w:val="false"/>
          <w:caps w:val="false"/>
          <w:smallCaps w:val="false"/>
          <w:sz w:val="20"/>
        </w:rPr>
        <w:t>impairment charge</w:t>
      </w:r>
      <w:r>
        <w:rPr>
          <w:rFonts w:ascii="Times New Roman;Times;serif" w:hAnsi="Times New Roman;Times;serif"/>
          <w:sz w:val="20"/>
        </w:rPr>
        <w:t xml:space="preserve"> of $1,656 in the Infrastructure segment as a result of the Company’s annual indefinite-lived trade name impairment assessment as of September 2, 2023. Additionally, in the third quarter of fiscal 2023, the Company recognized an </w:t>
      </w:r>
      <w:r>
        <w:rPr>
          <w:rFonts w:ascii="Times New Roman;Times;serif" w:hAnsi="Times New Roman;Times;serif"/>
          <w:b w:val="false"/>
          <w:i w:val="false"/>
          <w:caps w:val="false"/>
          <w:smallCaps w:val="false"/>
          <w:sz w:val="20"/>
        </w:rPr>
        <w:t>impairment charge</w:t>
      </w:r>
      <w:r>
        <w:rPr>
          <w:rFonts w:ascii="Times New Roman;Times;serif" w:hAnsi="Times New Roman;Times;serif"/>
          <w:sz w:val="20"/>
        </w:rPr>
        <w:t xml:space="preserve"> of $17,273 in the Agriculture segment for a certain amortizing proprietary technology intangible asset related to the Prospera subsidiary.</w:t>
      </w:r>
    </w:p>
    <w:p>
      <w:pPr>
        <w:pStyle w:val="TextBody"/>
        <w:bidi w:val="0"/>
        <w:spacing w:before="0" w:after="240"/>
        <w:ind w:left="0" w:right="0" w:hanging="0"/>
        <w:jc w:val="left"/>
        <w:rPr>
          <w:rFonts w:ascii="Times New Roman;Times;serif" w:hAnsi="Times New Roman;Times;serif"/>
          <w:b/>
          <w:sz w:val="20"/>
        </w:rPr>
      </w:pPr>
      <w:bookmarkStart w:id="1169" w:name="a8BANKCREDITARRANGEMENTS_505125"/>
      <w:bookmarkEnd w:id="1169"/>
      <w:r>
        <w:rPr>
          <w:rFonts w:ascii="Times New Roman;Times;serif" w:hAnsi="Times New Roman;Times;serif"/>
          <w:b/>
          <w:sz w:val="20"/>
        </w:rPr>
        <w:t>(8) BANK CREDIT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various lines of credit with financial institutions for short-term borrowing purposes. As of December 27, 2025, the aggregate amount available under these lines of credit was $10,071. Outstanding borrowings under these arrangements were $0 and $1,669 as of December 27, 2025 and December 28, 2024, respectively, and are recorded as “Notes payable to banks” in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Borrowings under the lines of credit bear interest at variable rates based on the respective banks’ cost of funds. The terms of the lines of credit may be modified by the banks from time to time, subject to the Company’s approval.</w:t>
      </w:r>
    </w:p>
    <w:p>
      <w:pPr>
        <w:pStyle w:val="TextBody"/>
        <w:bidi w:val="0"/>
        <w:spacing w:before="0" w:after="240"/>
        <w:ind w:left="0" w:right="0" w:hanging="0"/>
        <w:jc w:val="left"/>
        <w:rPr>
          <w:rFonts w:ascii="Times New Roman;Times;serif" w:hAnsi="Times New Roman;Times;serif"/>
          <w:b/>
          <w:sz w:val="20"/>
        </w:rPr>
      </w:pPr>
      <w:bookmarkStart w:id="1170" w:name="Tc_I3GFK1aACUO_BSsplGe8Eg_6_8"/>
      <w:bookmarkStart w:id="1171" w:name="Tc_0ZfxKne6oECrlmSEMDVJ8A_6_5"/>
      <w:bookmarkStart w:id="1172" w:name="Tc_l_5mTVkgwEqwV5cqqZNYAg_6_2"/>
      <w:bookmarkStart w:id="1173" w:name="Tc_pe1Ot7meL0aFZjJmwlFVrA_6_0"/>
      <w:bookmarkStart w:id="1174" w:name="Tc_3iCY1IL45kKRMqCbXiEkZw_5_0"/>
      <w:bookmarkStart w:id="1175" w:name="Tc_zrc4HD5UsEiFcsW8bP5EDw_4_8"/>
      <w:bookmarkStart w:id="1176" w:name="Tc_wT78EwX-ik-_mU2nNvBtQA_4_5"/>
      <w:bookmarkStart w:id="1177" w:name="Tc_iMHHIFGIQUS1dRbN2_gxRA_4_2"/>
      <w:bookmarkStart w:id="1178" w:name="Tc_amicuAigK0qh_ex3nOf1Qg_4_0"/>
      <w:bookmarkStart w:id="1179" w:name="Tc_dU-cAtG6GEu19Y7MQ-Cs-A_3_8"/>
      <w:bookmarkStart w:id="1180" w:name="Tc_u4ZTW0POIUG-O-TiPXdofg_3_5"/>
      <w:bookmarkStart w:id="1181" w:name="Tc_BBPfsmoLaEurMtIJdr6rgA_3_2"/>
      <w:bookmarkStart w:id="1182" w:name="Tc_6U3KZ1hwl0Ce9-MFQCrNEw_2_8"/>
      <w:bookmarkStart w:id="1183" w:name="Tc_jIvZ3U-iy0uv42djB3zuVA_2_5"/>
      <w:bookmarkStart w:id="1184" w:name="Tc_1Nv4JXSS70as1_USZuKcHA_2_2"/>
      <w:bookmarkStart w:id="1185" w:name="Tc_LA7yuwJFqEK0OC4oaODAoA_1_2"/>
      <w:bookmarkStart w:id="1186" w:name="a9INCOMETAXES_275206"/>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r>
        <w:rPr>
          <w:rFonts w:ascii="Times New Roman;Times;serif" w:hAnsi="Times New Roman;Times;serif"/>
          <w:b/>
          <w:sz w:val="20"/>
        </w:rPr>
        <w:t>(9)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Earnings (loss) before income taxes and equity method investment loss for the fiscal years ended December 27, 2025, December 28, 2024, and December 30, 2023 were as follows:</w:t>
      </w:r>
    </w:p>
    <w:p>
      <w:pPr>
        <w:pStyle w:val="TextBody"/>
        <w:bidi w:val="0"/>
        <w:spacing w:before="0" w:after="0"/>
        <w:ind w:left="0" w:right="0" w:hanging="0"/>
        <w:jc w:val="left"/>
        <w:rPr/>
      </w:pPr>
      <w:r>
        <w:rPr/>
        <w:t>​</w:t>
      </w:r>
    </w:p>
    <w:tbl>
      <w:tblPr>
        <w:tblW w:w="9199" w:type="dxa"/>
        <w:jc w:val="left"/>
        <w:tblInd w:w="0" w:type="dxa"/>
        <w:tblLayout w:type="fixed"/>
        <w:tblCellMar>
          <w:top w:w="0" w:type="dxa"/>
          <w:left w:w="0" w:type="dxa"/>
          <w:bottom w:w="0" w:type="dxa"/>
          <w:right w:w="0" w:type="dxa"/>
        </w:tblCellMar>
      </w:tblPr>
      <w:tblGrid>
        <w:gridCol w:w="4696"/>
        <w:gridCol w:w="346"/>
        <w:gridCol w:w="243"/>
        <w:gridCol w:w="897"/>
        <w:gridCol w:w="346"/>
        <w:gridCol w:w="252"/>
        <w:gridCol w:w="888"/>
        <w:gridCol w:w="346"/>
        <w:gridCol w:w="234"/>
        <w:gridCol w:w="951"/>
      </w:tblGrid>
      <w:tr>
        <w:trPr/>
        <w:tc>
          <w:tcPr>
            <w:tcW w:w="4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4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417,532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328,953</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195,491</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(39,890)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139,728</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40,961</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before income taxes and equity method investment loss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377,642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468,681</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236,452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187" w:name="Tc_2mgUEXyt5U2Zhl5s7w5tug_14_2"/>
      <w:bookmarkStart w:id="1188" w:name="Tc_abPU4VjZEUqiiDhYMxQXfA_14_0"/>
      <w:bookmarkStart w:id="1189" w:name="Tc_FRT38w0X6E6qlrl3Ma7n5g_13_0"/>
      <w:bookmarkStart w:id="1190" w:name="Tc_xuy5hAHLl06tDhN1PXtBiw_12_0"/>
      <w:bookmarkStart w:id="1191" w:name="Tc_pyQ29cTfSkK4gSCt259jGg_11_0"/>
      <w:bookmarkStart w:id="1192" w:name="Tc_98uGrv2jdUKa4M5XYsoBTw_10_0"/>
      <w:bookmarkStart w:id="1193" w:name="Tc_rRPedj5Sqk21ICrhGOcIHw_9_0"/>
      <w:bookmarkStart w:id="1194" w:name="Tc_y_Fz1w_J1kGZuKeD7T5qIg_8_0"/>
      <w:bookmarkStart w:id="1195" w:name="Tc_5yXWP6P8302RKs32KiEs9A_7_0"/>
      <w:bookmarkStart w:id="1196" w:name="Tc_ib9z2wvk0EyuQwkLw_5MSA_6_0"/>
      <w:bookmarkStart w:id="1197" w:name="Tc_2-3mWG_n30u8h8yXz0vjlw_5_0"/>
      <w:bookmarkStart w:id="1198" w:name="Tc_Rm8A30cpmUyKqif7-sXxVA_4_2"/>
      <w:bookmarkStart w:id="1199" w:name="Tc_J3EEqYNkiUKq6bCu8rs96w_4_0"/>
      <w:bookmarkStart w:id="1200" w:name="Tc_3BlelabWVUK2xkUYFnYPuw_3_2"/>
      <w:bookmarkStart w:id="1201" w:name="Tc_L04Lg924EkK2B_KIrP9faA_3_0"/>
      <w:bookmarkStart w:id="1202" w:name="Tc_AS42cwVtpUK04Kt93RGjfg_2_2"/>
      <w:bookmarkStart w:id="1203" w:name="Tc_nGf-K2dZeEuzPdu8A_I_Fw_1_2"/>
      <w:bookmarkStart w:id="1204" w:name="Tc_phqyApwYrUiuo_dnG6Jq5A_15_8"/>
      <w:bookmarkStart w:id="1205" w:name="Tc_7pADoP7FPE2Qtfgms0PSbQ_15_5"/>
      <w:bookmarkStart w:id="1206" w:name="Tc_HEun1mj3dUK5Q6vjQbc0eA_15_2"/>
      <w:bookmarkStart w:id="1207" w:name="Tc_IT5kCszxBUSJQn6ybGasLw_15_0"/>
      <w:bookmarkStart w:id="1208" w:name="Tc_y8UyrgiDCUG9iKWNqa_gnQ_14_0"/>
      <w:bookmarkStart w:id="1209" w:name="Tc_kqMb6mvho0er9bYGZ17GqQ_13_0"/>
      <w:bookmarkStart w:id="1210" w:name="Tc_3RGTPadRl0KpZfcGppbfeg_12_0"/>
      <w:bookmarkStart w:id="1211" w:name="Tc_uQvJeWIBKUic_w3pLnJyuw_11_0"/>
      <w:bookmarkStart w:id="1212" w:name="Tc_PhSFXvroL0-7XsIHX0xvpw_10_0"/>
      <w:bookmarkStart w:id="1213" w:name="Tc_qMNhvZaSV0GsjUsmJibPgw_9_0"/>
      <w:bookmarkStart w:id="1214" w:name="Tc_w9_Y_uLFUkSXn8hetV5yQQ_8_0"/>
      <w:bookmarkStart w:id="1215" w:name="Tc_roLs_1hhhkeXABTA866Tow_7_0"/>
      <w:bookmarkStart w:id="1216" w:name="Tc_SyGYCPHnO0eknPvPmWpD1w_6_0"/>
      <w:bookmarkStart w:id="1217" w:name="Tc_T9-dZsZOEkqJOUtTEpfQ5w_5_8"/>
      <w:bookmarkStart w:id="1218" w:name="Tc_R4asekQYwkq2KIg35Dv7oQ_5_5"/>
      <w:bookmarkStart w:id="1219" w:name="Tc_4AbRYyht8EG1rNqjVqPxLg_5_2"/>
      <w:bookmarkStart w:id="1220" w:name="Tc_jmnEqP48IUas0a5t2fToqQ_5_0"/>
      <w:bookmarkStart w:id="1221" w:name="Tc_noaSwA_TwEGC6YP0-jqCSA_4_0"/>
      <w:bookmarkStart w:id="1222" w:name="Tc_9Yn50ACheUqJGvxbgVbJ_Q_3_8"/>
      <w:bookmarkStart w:id="1223" w:name="Tc_oG9oOWLDy0O7alYUyEdaIA_3_5"/>
      <w:bookmarkStart w:id="1224" w:name="Tc_En7F0rdKZUe8ZP51pK_3hg_3_2"/>
      <w:bookmarkStart w:id="1225" w:name="Tc_9Z3P0nif2UqWq631IDOKhQ_2_8"/>
      <w:bookmarkStart w:id="1226" w:name="Tc_W776QyCsKEu8n8o6qhQaFw_2_5"/>
      <w:bookmarkStart w:id="1227" w:name="Tc_P83be2yHmkGzsrYE3R0VHA_2_2"/>
      <w:bookmarkStart w:id="1228" w:name="Tc_zv_QbntVHUixcU767K7pUA_1_2"/>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Fonts w:ascii="Times New Roman;Times;serif" w:hAnsi="Times New Roman;Times;serif"/>
          <w:sz w:val="20"/>
        </w:rPr>
        <w:t>Income tax expense (benefit) for the fiscal years ended December 27, 2025, December 28, 2024, and December 30, 2023 consisted of:</w:t>
      </w:r>
    </w:p>
    <w:p>
      <w:pPr>
        <w:pStyle w:val="TextBody"/>
        <w:bidi w:val="0"/>
        <w:spacing w:before="0" w:after="0"/>
        <w:ind w:left="0" w:right="0" w:hanging="0"/>
        <w:jc w:val="left"/>
        <w:rPr/>
      </w:pPr>
      <w:r>
        <w:rPr/>
        <w:t>​</w:t>
      </w:r>
    </w:p>
    <w:tbl>
      <w:tblPr>
        <w:tblW w:w="6949" w:type="dxa"/>
        <w:jc w:val="left"/>
        <w:tblInd w:w="0" w:type="dxa"/>
        <w:tblLayout w:type="fixed"/>
        <w:tblCellMar>
          <w:top w:w="0" w:type="dxa"/>
          <w:left w:w="0" w:type="dxa"/>
          <w:bottom w:w="0" w:type="dxa"/>
          <w:right w:w="0" w:type="dxa"/>
        </w:tblCellMar>
      </w:tblPr>
      <w:tblGrid>
        <w:gridCol w:w="2446"/>
        <w:gridCol w:w="346"/>
        <w:gridCol w:w="243"/>
        <w:gridCol w:w="897"/>
        <w:gridCol w:w="346"/>
        <w:gridCol w:w="243"/>
        <w:gridCol w:w="897"/>
        <w:gridCol w:w="346"/>
        <w:gridCol w:w="241"/>
        <w:gridCol w:w="944"/>
      </w:tblGrid>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r>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pPr>
            <w:r>
              <w:rPr/>
              <w:t>  ​</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84,110</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42,226</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7,853</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17,738</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8,480</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36,329</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42,150</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56,107</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44,390</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143,998</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106,813</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Non-current:</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(1,330)</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1,957</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pPr>
            <w:r>
              <w:rPr/>
              <w:t>  ​</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2,103</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(21,498)</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(12,585)</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2,882</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(5,261)</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(2,586)</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(24,181)</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2,104</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(3,478)</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(19,196)</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(24,655)</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(18,649)</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income tax expense</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23,864</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117,978</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90,121</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Total income taxes paid (net of refunds) for the fiscal year ended December 27, 2025 was as follows:</w:t>
      </w:r>
    </w:p>
    <w:p>
      <w:pPr>
        <w:pStyle w:val="TextBody"/>
        <w:bidi w:val="0"/>
        <w:spacing w:before="0" w:after="0"/>
        <w:ind w:left="0" w:right="0" w:hanging="0"/>
        <w:jc w:val="left"/>
        <w:rPr/>
      </w:pPr>
      <w:r>
        <w:rPr/>
        <w:t>​</w:t>
      </w:r>
    </w:p>
    <w:tbl>
      <w:tblPr>
        <w:tblW w:w="3947" w:type="dxa"/>
        <w:jc w:val="left"/>
        <w:tblInd w:w="0" w:type="dxa"/>
        <w:tblLayout w:type="fixed"/>
        <w:tblCellMar>
          <w:top w:w="0" w:type="dxa"/>
          <w:left w:w="0" w:type="dxa"/>
          <w:bottom w:w="0" w:type="dxa"/>
          <w:right w:w="0" w:type="dxa"/>
        </w:tblCellMar>
      </w:tblPr>
      <w:tblGrid>
        <w:gridCol w:w="2041"/>
        <w:gridCol w:w="346"/>
        <w:gridCol w:w="339"/>
        <w:gridCol w:w="1221"/>
      </w:tblGrid>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left"/>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Jurisdiction</w:t>
            </w:r>
          </w:p>
        </w:tc>
        <w:tc>
          <w:tcPr>
            <w:tcW w:w="346" w:type="dxa"/>
            <w:tcBorders/>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federal</w:t>
            </w:r>
          </w:p>
        </w:tc>
        <w:tc>
          <w:tcPr>
            <w:tcW w:w="346" w:type="dxa"/>
            <w:tcBorders/>
            <w:shd w:fill="CCEEFF" w:val="clear"/>
            <w:vAlign w:val="center"/>
          </w:tcPr>
          <w:p>
            <w:pPr>
              <w:pStyle w:val="TableContents"/>
              <w:bidi w:val="0"/>
              <w:spacing w:before="0" w:after="1"/>
              <w:ind w:left="0" w:right="0" w:hanging="0"/>
              <w:jc w:val="left"/>
              <w:rPr/>
            </w:pPr>
            <w:r>
              <w:rPr/>
              <w:t> </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26,484</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Aggregated state and local</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13,397</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pPr>
            <w:r>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Australia</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11,853</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Brazil</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6,468</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China</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4,293</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Italy</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7,137</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Mexico</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4,577</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10,019</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foreign</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44,347</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income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84,228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229" w:name="Tc_qs-BOhjTN0-sSIPI6ZIpsw_13_6"/>
      <w:bookmarkStart w:id="1230" w:name="Tc_N1fu8TWO9k-0FpoPoM5fxg_13_3"/>
      <w:bookmarkStart w:id="1231" w:name="Tc_XytGachu-EuC1fWDSFyt1A_13_0"/>
      <w:bookmarkStart w:id="1232" w:name="Tc_8SSAkX_ULkmCQCKSImgIfg_12_0"/>
      <w:bookmarkStart w:id="1233" w:name="Tc_7Fh05HqXO0ymzghoXTryfg_11_5"/>
      <w:bookmarkStart w:id="1234" w:name="Tc_cscQ7b08eUebsv6oYonn4g_11_0"/>
      <w:bookmarkStart w:id="1235" w:name="Tc_XHLUdEpb2EugHIQDo5bczw_10_0"/>
      <w:bookmarkStart w:id="1236" w:name="Tc_y05KGLtmOkKyvp1nKh6RDg_9_0"/>
      <w:bookmarkStart w:id="1237" w:name="Tc_cXUicHwC6kiJPl7rfZHe8A_8_0"/>
      <w:bookmarkStart w:id="1238" w:name="Tc_Be-YOw2g6kmvhYor8MqXMQ_7_0"/>
      <w:bookmarkStart w:id="1239" w:name="Tc_QJml-PylJEmH5cFb66fj9A_6_0"/>
      <w:bookmarkStart w:id="1240" w:name="Tc_BHScS1HcQ0K_YYJVp9HPow_5_0"/>
      <w:bookmarkStart w:id="1241" w:name="Tc_QtOPt5CjlU6W0Bs4_SxMHQ_4_6"/>
      <w:bookmarkStart w:id="1242" w:name="Tc_tZvOT19ly0igzEqWogcYKg_4_3"/>
      <w:bookmarkStart w:id="1243" w:name="Tc_hwTKaWMfIEKxBFH6ARV-Gg_4_0"/>
      <w:bookmarkStart w:id="1244" w:name="Tc_tTWIIvIke0up20pI33sQ3w_3_5"/>
      <w:bookmarkStart w:id="1245" w:name="Tc_Q70er370ikO8wcdtZb8XKg_3_2"/>
      <w:bookmarkStart w:id="1246" w:name="Tc_yvL2X-oTrECvJ4mupJxr9w_2_5"/>
      <w:bookmarkStart w:id="1247" w:name="Tc_yioD012S0Eql8IHquLKs8Q_2_2"/>
      <w:bookmarkStart w:id="1248" w:name="Tc_kCRF0g_GLkiQvEr0vmZXCQ_1_2"/>
      <w:bookmarkStart w:id="1249" w:name="Tc_o7ner1XWXUG5vYB69AHnCg_26_6"/>
      <w:bookmarkStart w:id="1250" w:name="Tc_vTToXuwre0-C9ButkFplRA_26_2"/>
      <w:bookmarkStart w:id="1251" w:name="Tc_z-uvhBuSoEKoSoTXWjdajg_25_0"/>
      <w:bookmarkStart w:id="1252" w:name="Tc_WbuDJbi6wUaQ7IXxvPS7MQ_24_0"/>
      <w:bookmarkStart w:id="1253" w:name="Tc_PdA7ZXLhvEuBY0ggd6X19A_23_0"/>
      <w:bookmarkStart w:id="1254" w:name="Tc_s5LmBlp8vECnlYWZfqFmiQ_22_0"/>
      <w:bookmarkStart w:id="1255" w:name="Tc_VNuFKQOuEkSUmAUFnyLN1g_21_0"/>
      <w:bookmarkStart w:id="1256" w:name="Tc_qH_d0uK3S0mVtSCMMBDBhA_20_0"/>
      <w:bookmarkStart w:id="1257" w:name="Tc_pCB5ku607UuVLmn1z0ucQA_19_0"/>
      <w:bookmarkStart w:id="1258" w:name="Tc_4Fhvd2N2HkOcfqsC1aL15w_18_0"/>
      <w:bookmarkStart w:id="1259" w:name="Tc_VvV_0H2lCkmq3FDXA77XaA_17_0"/>
      <w:bookmarkStart w:id="1260" w:name="Tc_D0e3qtIZlECY8sQCRO-1LA_16_0"/>
      <w:bookmarkStart w:id="1261" w:name="Tc_Kk2-i0RhYkOPMtXfwykZtg_15_0"/>
      <w:bookmarkStart w:id="1262" w:name="Tc_kfvgYhbno0OuQKMzKMYVeg_14_0"/>
      <w:bookmarkStart w:id="1263" w:name="Tc_eDxOaZwEpUipZFslN5hGLw_13_0"/>
      <w:bookmarkStart w:id="1264" w:name="Tc_U2Akli_HJ0y0F-zwObWOpQ_12_0"/>
      <w:bookmarkStart w:id="1265" w:name="Tc_qnpVjvxjz0S48Vo2m4x_qQ_11_0"/>
      <w:bookmarkStart w:id="1266" w:name="Tc_onJnxcZz6Uq_zHKW2MgA5g_10_0"/>
      <w:bookmarkStart w:id="1267" w:name="Tc_79_zdKJSdE6cEl7B1t11gw_9_0"/>
      <w:bookmarkStart w:id="1268" w:name="Tc_t1Qr37AMMUaS9IobS34i2Q_8_0"/>
      <w:bookmarkStart w:id="1269" w:name="Tc_1GnXNwfPaUuV87fkiVuamw_7_0"/>
      <w:bookmarkStart w:id="1270" w:name="Tc_8palCujLnU6qoFUcMBAcPA_6_0"/>
      <w:bookmarkStart w:id="1271" w:name="Tc_s_9jsAOAyk-Et0Qd446AYQ_4_6"/>
      <w:bookmarkStart w:id="1272" w:name="Tc_FLHabkLkMkelIesEsvNZgg_4_2"/>
      <w:bookmarkStart w:id="1273" w:name="Tc_h1zU2AGT_0GLI9No0Nh5yg_4_0"/>
      <w:bookmarkStart w:id="1274" w:name="Tc_UYoaDv77GEqcg2HyNyS4vg_3_5"/>
      <w:bookmarkStart w:id="1275" w:name="Tc_5Dl0AEd33UuTN_jqRSX_eg_3_2"/>
      <w:bookmarkStart w:id="1276" w:name="Tc_z3YA0mym3USiyVYMmiaMSg_2_2"/>
      <w:bookmarkStart w:id="1277" w:name="Tc_ikYgY5NiXkSLKLo_R9UPJw_1_2"/>
      <w:bookmarkStart w:id="1278" w:name="_b42fe1b0_efad_4e91_aab5_a9eabd17c396"/>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Fonts w:ascii="Times New Roman;Times;serif" w:hAnsi="Times New Roman;Times;serif"/>
          <w:sz w:val="20"/>
        </w:rPr>
        <w:t>The reconciliation of the U.S. federal statutory income tax rate and the effective tax rate for the fiscal year ended December 27, 2025 was as follows:</w:t>
      </w:r>
    </w:p>
    <w:p>
      <w:pPr>
        <w:pStyle w:val="TextBody"/>
        <w:bidi w:val="0"/>
        <w:spacing w:before="0" w:after="0"/>
        <w:ind w:left="0" w:right="0" w:hanging="0"/>
        <w:jc w:val="left"/>
        <w:rPr/>
      </w:pPr>
      <w:r>
        <w:rPr/>
        <w:t>​</w:t>
      </w:r>
    </w:p>
    <w:tbl>
      <w:tblPr>
        <w:tblW w:w="6910" w:type="dxa"/>
        <w:jc w:val="left"/>
        <w:tblInd w:w="0" w:type="dxa"/>
        <w:tblLayout w:type="fixed"/>
        <w:tblCellMar>
          <w:top w:w="0" w:type="dxa"/>
          <w:left w:w="0" w:type="dxa"/>
          <w:bottom w:w="0" w:type="dxa"/>
          <w:right w:w="0" w:type="dxa"/>
        </w:tblCellMar>
      </w:tblPr>
      <w:tblGrid>
        <w:gridCol w:w="4606"/>
        <w:gridCol w:w="346"/>
        <w:gridCol w:w="196"/>
        <w:gridCol w:w="721"/>
        <w:gridCol w:w="109"/>
        <w:gridCol w:w="541"/>
        <w:gridCol w:w="391"/>
      </w:tblGrid>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federal statutory income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79,305</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State and local income taxes, net of federal income tax effect (a)</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8,141</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91" w:type="dxa"/>
            <w:tcBorders/>
            <w:vAlign w:val="center"/>
          </w:tcPr>
          <w:p>
            <w:pPr>
              <w:pStyle w:val="TableContents"/>
              <w:bidi w:val="0"/>
              <w:spacing w:before="0" w:after="1"/>
              <w:ind w:left="0" w:right="0" w:hanging="0"/>
              <w:jc w:val="left"/>
              <w:rPr/>
            </w:pPr>
            <w:r>
              <w:rPr/>
              <w:t> </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Domestic federal:</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credits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(7,236)</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Nontaxable or nondeductible items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1,559</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cross-border tax laws: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Deduction for worthless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(66,094)</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2,878</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valuation allowances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(13,119)</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tax effects: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Australia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 impairment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6,900</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2,480</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Brazil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jurisdictional tax rate differences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(7,610)</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Italy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 impairment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10,054</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foreign jurisdictions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2,944</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w:t>
            </w:r>
          </w:p>
        </w:tc>
        <w:tc>
          <w:tcPr>
            <w:tcW w:w="391"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unrecognized tax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(1,330)</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adjustments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1,367</w:t>
            </w:r>
          </w:p>
        </w:tc>
        <w:tc>
          <w:tcPr>
            <w:tcW w:w="109"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Effective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23,864</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bl>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in Alabama, California, Georgia, Illinois, Iowa, Louisiana, Maryland, Pennsylvania, and Texas made up the majority.</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reconciliations of the U.S. federal statutory income tax rate and the effective tax rate for the fiscal years ended December 28, 2024 and December 30, 2023 were as follows:</w:t>
      </w:r>
    </w:p>
    <w:p>
      <w:pPr>
        <w:pStyle w:val="TextBody"/>
        <w:bidi w:val="0"/>
        <w:spacing w:before="0" w:after="0"/>
        <w:ind w:left="0" w:right="0" w:hanging="0"/>
        <w:jc w:val="left"/>
        <w:rPr/>
      </w:pPr>
      <w:r>
        <w:rPr/>
        <w:t>​</w:t>
      </w:r>
    </w:p>
    <w:tbl>
      <w:tblPr>
        <w:tblW w:w="7353" w:type="dxa"/>
        <w:jc w:val="left"/>
        <w:tblInd w:w="0" w:type="dxa"/>
        <w:tblLayout w:type="fixed"/>
        <w:tblCellMar>
          <w:top w:w="0" w:type="dxa"/>
          <w:left w:w="0" w:type="dxa"/>
          <w:bottom w:w="0" w:type="dxa"/>
          <w:right w:w="0" w:type="dxa"/>
        </w:tblCellMar>
      </w:tblPr>
      <w:tblGrid>
        <w:gridCol w:w="4336"/>
        <w:gridCol w:w="346"/>
        <w:gridCol w:w="626"/>
        <w:gridCol w:w="514"/>
        <w:gridCol w:w="346"/>
        <w:gridCol w:w="691"/>
        <w:gridCol w:w="494"/>
      </w:tblGrid>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federal statutory income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income taxes, net of federal benefit</w:t>
            </w:r>
          </w:p>
        </w:tc>
        <w:tc>
          <w:tcPr>
            <w:tcW w:w="346"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514"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49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Carryforwards, credits and changes in valuation allowances</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514"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49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jurisdictional tax rate differences</w:t>
            </w:r>
          </w:p>
        </w:tc>
        <w:tc>
          <w:tcPr>
            <w:tcW w:w="346"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514"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49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unrecognized tax benefits</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514"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w:t>
            </w:r>
          </w:p>
        </w:tc>
        <w:tc>
          <w:tcPr>
            <w:tcW w:w="49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goodwill and other intangible assets</w:t>
            </w:r>
          </w:p>
        </w:tc>
        <w:tc>
          <w:tcPr>
            <w:tcW w:w="346"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pPr>
            <w:r>
              <w:rPr/>
              <w:t>—</w:t>
            </w:r>
          </w:p>
        </w:tc>
        <w:tc>
          <w:tcPr>
            <w:tcW w:w="514"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49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Excess tax benefit on equity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5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49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divestitures</w:t>
            </w:r>
          </w:p>
        </w:tc>
        <w:tc>
          <w:tcPr>
            <w:tcW w:w="346"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w:t>
            </w:r>
          </w:p>
        </w:tc>
        <w:tc>
          <w:tcPr>
            <w:tcW w:w="514"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49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5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4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346" w:type="dxa"/>
            <w:tcBorders/>
            <w:vAlign w:val="center"/>
          </w:tcPr>
          <w:p>
            <w:pPr>
              <w:pStyle w:val="TableContents"/>
              <w:bidi w:val="0"/>
              <w:spacing w:before="0" w:after="1"/>
              <w:ind w:left="0" w:right="0" w:hanging="0"/>
              <w:jc w:val="left"/>
              <w:rPr/>
            </w:pPr>
            <w:r>
              <w:rPr/>
              <w:t> </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w:t>
            </w:r>
          </w:p>
        </w:tc>
        <w:tc>
          <w:tcPr>
            <w:tcW w:w="5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w:t>
            </w:r>
          </w:p>
        </w:tc>
        <w:tc>
          <w:tcPr>
            <w:tcW w:w="4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Deferred income taxes reflect the net tax effects of (a) temporary differences between the carrying amounts of assets and liabilities for financial reporting purposes and the amounts used for income tax purposes, and (b) operating loss and tax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left"/>
        <w:rPr>
          <w:rFonts w:ascii="Times New Roman;Times;serif" w:hAnsi="Times New Roman;Times;serif"/>
          <w:sz w:val="20"/>
        </w:rPr>
      </w:pPr>
      <w:bookmarkStart w:id="1279" w:name="Tc_QToG3uLyCU2Mu9_LmjnPeg_9_5"/>
      <w:bookmarkStart w:id="1280" w:name="Tc_uC6GHUt56UmXl7mX_zhvPw_9_2"/>
      <w:bookmarkStart w:id="1281" w:name="Tc_HtUpe0_PSk66iIwhtv8lVQ_9_0"/>
      <w:bookmarkStart w:id="1282" w:name="Tc_jlCMdNboKkG7ZPWEauaywQ_8_0"/>
      <w:bookmarkStart w:id="1283" w:name="Tc_Zgm0lxcQiUCwpvrzqESb3A_7_3"/>
      <w:bookmarkStart w:id="1284" w:name="Tc_xXRpDsT6d06ntQdUXdj7XQ_7_0"/>
      <w:bookmarkStart w:id="1285" w:name="Tc_rDeOQ7ycWEmUr7hi5VVDIg_6_0"/>
      <w:bookmarkStart w:id="1286" w:name="Tc_hCW94ZG5wkiD_lwmX2Hz5w_5_0"/>
      <w:bookmarkStart w:id="1287" w:name="Tc_Xq7qnkdWR0yglnAdOp_Otg_4_5"/>
      <w:bookmarkStart w:id="1288" w:name="Tc_vqN2TloiT0y4A-u9zmwXow_4_2"/>
      <w:bookmarkStart w:id="1289" w:name="Tc_8b0vzfA9F0OcXwkwUGNgmA_4_0"/>
      <w:bookmarkStart w:id="1290" w:name="Tc_M84yc8ZWvkuPgQFQeie_-w_3_5"/>
      <w:bookmarkStart w:id="1291" w:name="Tc_a0fmowZ2b0Cq3a3yjmoIyA_3_2"/>
      <w:bookmarkStart w:id="1292" w:name="Tc_52z1FjuZPUeK2aiL5Mqc8Q_2_5"/>
      <w:bookmarkStart w:id="1293" w:name="Tc_X2cD7Zx1b0Oz8RjgEpquww_2_2"/>
      <w:bookmarkStart w:id="1294" w:name="Tc_tGB2qIf6bkaJ3zNEkf6j4A_1_2"/>
      <w:bookmarkStart w:id="1295" w:name="Tc_uH--EggyIUuDj-yHkmg8zg_22_5"/>
      <w:bookmarkStart w:id="1296" w:name="Tc_OzQmDSPGnkacax4fdYgjXA_22_2"/>
      <w:bookmarkStart w:id="1297" w:name="Tc_V2JW5t04X0GjytfkaD20jA_22_0"/>
      <w:bookmarkStart w:id="1298" w:name="Tc_slj2rE-vHU-t0YuNaJJfJQ_21_0"/>
      <w:bookmarkStart w:id="1299" w:name="Tc_v3ynggMRSU2fTkHfYpOqTw_20_0"/>
      <w:bookmarkStart w:id="1300" w:name="Tc_iXlZhYDVVk6NGCyGBwATBQ_19_0"/>
      <w:bookmarkStart w:id="1301" w:name="Tc_4QmbrMmCTUif6WsKm5B_xw_18_0"/>
      <w:bookmarkStart w:id="1302" w:name="Tc_YMzUbxL-lEWH7MzQOV6gjA_17_0"/>
      <w:bookmarkStart w:id="1303" w:name="Tc_5WnIwO36OE6YS6dcYLb6Jg_16_0"/>
      <w:bookmarkStart w:id="1304" w:name="Tc_-EJAoxHNfEmVC0nGqaPfQA_15_0"/>
      <w:bookmarkStart w:id="1305" w:name="Tc_cAkYGG6wekWzQG33EsRoXA_14_0"/>
      <w:bookmarkStart w:id="1306" w:name="Tc_1FI8Yjh_m0qLvY74yU_RcA_13_0"/>
      <w:bookmarkStart w:id="1307" w:name="Tc_C8mraVjGCUGYdSiZZoKAwg_12_0"/>
      <w:bookmarkStart w:id="1308" w:name="Tc_n9ggZzPtFUy12eaf2oT8_w_11_0"/>
      <w:bookmarkStart w:id="1309" w:name="Tc_VCaHfatD90i1uPnH47QDxw_10_0"/>
      <w:bookmarkStart w:id="1310" w:name="Tc_j1WuJ81WDkKHSYdn29PRxw_9_0"/>
      <w:bookmarkStart w:id="1311" w:name="Tc_4Jc-GF4JnkigUjXYHa8Byw_8_0"/>
      <w:bookmarkStart w:id="1312" w:name="Tc_tiPXXuGawUGOdzSbf3uQ2w_7_0"/>
      <w:bookmarkStart w:id="1313" w:name="Tc_3rEoK6984UCNsDP0UPG0KQ_6_0"/>
      <w:bookmarkStart w:id="1314" w:name="Tc_ympdNT_OHEuEdfiLrY24Rw_5_0"/>
      <w:bookmarkStart w:id="1315" w:name="Tc_qyGqAFepUk6U3DLRFNZBSw_4_5"/>
      <w:bookmarkStart w:id="1316" w:name="Tc_xTNzMSHXDkCVyBAtyYtiRw_4_2"/>
      <w:bookmarkStart w:id="1317" w:name="Tc_QHEulZs4HU2bX4XEprdtwA_4_0"/>
      <w:bookmarkStart w:id="1318" w:name="Tc_cCur7F0ow0quJ_GENB1z5Q_3_0"/>
      <w:bookmarkStart w:id="1319" w:name="Tc_Ynb8ETzxsUCq-T5oEl-zag_2_5"/>
      <w:bookmarkStart w:id="1320" w:name="Tc_NgScHgQNYkSIfUObsQxT0A_2_2"/>
      <w:bookmarkStart w:id="1321" w:name="Tc_EvwH38rQN0yXLwf6nrBQlw_1_5"/>
      <w:bookmarkStart w:id="1322" w:name="Tc_rVISbIJQnESFTpszpGAX0Q_1_2"/>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ascii="Times New Roman;Times;serif" w:hAnsi="Times New Roman;Times;serif"/>
          <w:sz w:val="20"/>
        </w:rPr>
        <w:t>credit carryforwards. The tax effects of significant items comprising the Company’s net deferred income tax assets (liabilities) as of December 27, 2025 and December 28, 2024 were as follows:</w:t>
      </w:r>
    </w:p>
    <w:p>
      <w:pPr>
        <w:pStyle w:val="TextBody"/>
        <w:bidi w:val="0"/>
        <w:spacing w:before="0" w:after="0"/>
        <w:ind w:left="0" w:right="0" w:hanging="0"/>
        <w:jc w:val="left"/>
        <w:rPr/>
      </w:pPr>
      <w:r>
        <w:rPr/>
        <w:t>​</w:t>
      </w:r>
    </w:p>
    <w:tbl>
      <w:tblPr>
        <w:tblW w:w="5973" w:type="dxa"/>
        <w:jc w:val="left"/>
        <w:tblInd w:w="0" w:type="dxa"/>
        <w:tblLayout w:type="fixed"/>
        <w:tblCellMar>
          <w:top w:w="0" w:type="dxa"/>
          <w:left w:w="0" w:type="dxa"/>
          <w:bottom w:w="0" w:type="dxa"/>
          <w:right w:w="0" w:type="dxa"/>
        </w:tblCellMar>
      </w:tblPr>
      <w:tblGrid>
        <w:gridCol w:w="2956"/>
        <w:gridCol w:w="346"/>
        <w:gridCol w:w="243"/>
        <w:gridCol w:w="897"/>
        <w:gridCol w:w="346"/>
        <w:gridCol w:w="241"/>
        <w:gridCol w:w="944"/>
      </w:tblGrid>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allowances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45,069</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28,099</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doubtful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11,237</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3,241</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credits and loss carryforwards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59,295</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56,180</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 allowances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16,367</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10,538</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compensation and benefits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21,951</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25,779</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37,957</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41,628</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expenditures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29,549</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41,214</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13,598</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13,351</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deferred income tax assets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235,023</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220,030</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(37,239)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(44,920)</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deferred income tax assets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197,784</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175,110</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42,842</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36,342</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48,559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48,571</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Defined benefit pension asset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9,917</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11,630</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37,956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41,627</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deferred tax liabilities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6,075</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145,349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143,545</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deferred income tax assets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52,435</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31,565</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Company’s management has reviewed recent operating results and projected future results, concluding that the realization of its net deferred tax assets is more likely than not. This assessment is based on, among other factors, recent operational changes and available tax planning strategies. As of December 27, 2025 and December 28, 2024, the amounts related to tax credits and loss carryforwards were $59,295 and $56,180,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Valuation allowances have been recorded for specific losses, reducing deferred tax assets to an amount that is more likely than not realizable. Deferred tax assets as of December 27, 2025 related to tax loss and tax credit carryforwards not reduced by valuation allowances are set to expire beginning in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Uncertain tax positions, included in “Other non-current liabilities” in the Consolidated Balance Sheets, are evaluated in a two-step process. First, the Company determines whether it is more likely than not that the tax positions will be sustained based on their technical merits. Second, for positions that meet this threshold, the Company recognizes the largest amount of tax benefit that is more than fifty percent likely to be realized upon settlement with the relevant tax authority.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summarizes the activity related to unrecognized tax benefits for the fiscal years ended December 27, 2025 and December 28, 2024:</w:t>
      </w:r>
    </w:p>
    <w:p>
      <w:pPr>
        <w:pStyle w:val="TextBody"/>
        <w:bidi w:val="0"/>
        <w:spacing w:before="0" w:after="0"/>
        <w:ind w:left="0" w:right="0" w:hanging="0"/>
        <w:jc w:val="left"/>
        <w:rPr/>
      </w:pPr>
      <w:r>
        <w:rPr/>
        <w:t>​</w:t>
      </w:r>
    </w:p>
    <w:tbl>
      <w:tblPr>
        <w:tblW w:w="7503" w:type="dxa"/>
        <w:jc w:val="left"/>
        <w:tblInd w:w="0" w:type="dxa"/>
        <w:tblLayout w:type="fixed"/>
        <w:tblCellMar>
          <w:top w:w="0" w:type="dxa"/>
          <w:left w:w="0" w:type="dxa"/>
          <w:bottom w:w="0" w:type="dxa"/>
          <w:right w:w="0" w:type="dxa"/>
        </w:tblCellMar>
      </w:tblPr>
      <w:tblGrid>
        <w:gridCol w:w="4486"/>
        <w:gridCol w:w="346"/>
        <w:gridCol w:w="290"/>
        <w:gridCol w:w="850"/>
        <w:gridCol w:w="346"/>
        <w:gridCol w:w="286"/>
        <w:gridCol w:w="899"/>
      </w:tblGrid>
      <w:tr>
        <w:trPr/>
        <w:tc>
          <w:tcPr>
            <w:tcW w:w="4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r>
      <w:tr>
        <w:trPr/>
        <w:tc>
          <w:tcPr>
            <w:tcW w:w="4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4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unrecognized tax benefits—beginning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2,707</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4,306</w:t>
            </w:r>
          </w:p>
        </w:tc>
      </w:tr>
      <w:tr>
        <w:trPr/>
        <w:tc>
          <w:tcPr>
            <w:tcW w:w="4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increases (decreases) from tax positions in prior period</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increases from current</w:t>
              <w:noBreakHyphen/>
              <w:t>period tax positions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1,381</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w:t>
            </w:r>
          </w:p>
        </w:tc>
      </w:tr>
      <w:tr>
        <w:trPr/>
        <w:tc>
          <w:tcPr>
            <w:tcW w:w="4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Settlements with taxing authorities</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(1,277)</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Lapses of statutes of limitation</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(1,517)</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(776)</w:t>
            </w:r>
          </w:p>
        </w:tc>
      </w:tr>
      <w:tr>
        <w:trPr/>
        <w:tc>
          <w:tcPr>
            <w:tcW w:w="4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unrecognized tax benefits—end of period</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w:t>
            </w:r>
          </w:p>
        </w:tc>
        <w:tc>
          <w:tcPr>
            <w:tcW w:w="346" w:type="dxa"/>
            <w:tcBorders/>
            <w:vAlign w:val="center"/>
          </w:tcPr>
          <w:p>
            <w:pPr>
              <w:pStyle w:val="TableContents"/>
              <w:bidi w:val="0"/>
              <w:spacing w:before="0" w:after="1"/>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2,707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Accrued interest and penalties amounted to $156 and $383 as of December 27, 2025 and December 28, 2024, respectively. The Company’s policy is to record interest and penalties directly related to income taxes as “Income tax expense” in the Consolidated Statements of Earnings.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files income tax returns in the U.S., various states, and foreign jurisdictions. U.S. tax years from 2022 onward remain open under statutes of limitation. The total unrecognized tax benefits that, if recognized, would affect the effective tax rate were $2,643 and $2,993 as of December 27, 2025 and December 28, 2024,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third quarter of fiscal 2025, on July 4, 2025, federal tax legislation commonly referred to as the One Big Beautiful Bill Act (“OBBBA”) was enacted in the U.S. The legislation includes a broad range of tax reform provisions. The Company recognized the impacts of the 2025 provisions, including those related to the timing of deductions for depreciation and research and experimentation costs. Certain provisions of OBBBA will become effective in 2026 and subsequent years. While the legislation is not expected to have a material impact on the Company’s consolidated results of operations, the Company continues to evaluate the potential effects of OBBBA on future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Organisation for Economic Co-operation and Development (“OECD”) issued Pillar Two model rules for a global minimum tax framework, effective January 1, 2024. While the U.S. has not enacted legislation to adopt Pillar Two, certain countries in which the Company operates have implemented it, while others are in the process of doing so. Further, on January 5, 2026, the OECD issued administrative guidance regarding the Side-by-Side (“SbS”) Safe Harbor under Pillar Two, which is expected to exempt U.S. companies and their subsidiaries from certain provisions of Pillar Two beginning in fiscal 2026. The SbS Safe Harbor does not impact the Company in the current fiscal year. However, the Company will continue to monitor regulatory developments and the implementation of the SbS Safe Harbor in the jurisdictions in which the Company operates. In fiscal 2025, Pillar Two had no material impact on the Company’s effective tax rate, and the Company does not currently expect it to have a significant impact going forward.</w:t>
      </w:r>
    </w:p>
    <w:p>
      <w:pPr>
        <w:pStyle w:val="TextBody"/>
        <w:bidi w:val="0"/>
        <w:spacing w:before="0" w:after="240"/>
        <w:ind w:left="0" w:right="0" w:hanging="0"/>
        <w:jc w:val="left"/>
        <w:rPr>
          <w:rFonts w:ascii="Times New Roman;Times;serif" w:hAnsi="Times New Roman;Times;serif"/>
          <w:b/>
          <w:sz w:val="20"/>
        </w:rPr>
      </w:pPr>
      <w:bookmarkStart w:id="1323" w:name="Tc_67Fak4O3ekWTKUW87HIJqg_11_5"/>
      <w:bookmarkStart w:id="1324" w:name="Tc_xCZkhkbo3Ua6god2mWE-6Q_11_2"/>
      <w:bookmarkStart w:id="1325" w:name="Tc_TRBbM6qCbk-liUjleurckA_11_0"/>
      <w:bookmarkStart w:id="1326" w:name="Tc_WhZAxcfFuUGkX06mTW3vSA_10_0"/>
      <w:bookmarkStart w:id="1327" w:name="Tc_MlizXnrPKECIE0Rv-ZeO3w_9_0"/>
      <w:bookmarkStart w:id="1328" w:name="Tc_E9rug-CWnE2HiGx0XKMFDg_8_0"/>
      <w:bookmarkStart w:id="1329" w:name="Tc_usG0w5SzuEyTQiTTwuhbcA_7_0"/>
      <w:bookmarkStart w:id="1330" w:name="Tc_VCnlWBsEp0OaUXgv2D3SPA_6_0"/>
      <w:bookmarkStart w:id="1331" w:name="Tc_v97BV6HFoUiPpK-GqLWa3g_5_0"/>
      <w:bookmarkStart w:id="1332" w:name="Tc_QM9Wfzr0I0GYrF7jh-Nn9Q_4_0"/>
      <w:bookmarkStart w:id="1333" w:name="Tc_u6F0xTqSm0Cb83c63TxlJQ_3_5"/>
      <w:bookmarkStart w:id="1334" w:name="Tc_M9dilpmzRUaYADk1CPiIDw_3_2"/>
      <w:bookmarkStart w:id="1335" w:name="Tc__oin1e0lgEKoMiSpVY8FKA_3_0"/>
      <w:bookmarkStart w:id="1336" w:name="Tc_fG41G9jbIUq7QFY-ryV7cw_2_5"/>
      <w:bookmarkStart w:id="1337" w:name="Tc_C-KWmD70HEqLM25XTQ9bKw_2_2"/>
      <w:bookmarkStart w:id="1338" w:name="Tc_EKGf5Noiu0OIwV5Gt2MQwA_1_5"/>
      <w:bookmarkStart w:id="1339" w:name="Tc_-_p3Gx9eWEaL-Qs2eOJakA_1_2"/>
      <w:bookmarkStart w:id="1340" w:name="_e93ae537_bbb3_49f4_960c_1edcc3ceae1d"/>
      <w:bookmarkStart w:id="1341" w:name="a10LONGTERMDEBT_42770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r>
        <w:rPr>
          <w:rFonts w:ascii="Times New Roman;Times;serif" w:hAnsi="Times New Roman;Times;serif"/>
          <w:b/>
          <w:sz w:val="20"/>
        </w:rPr>
        <w:t>(10)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Long-term debt as of December 27, 2025 and December 28, 2024 was as follows:</w:t>
      </w:r>
    </w:p>
    <w:p>
      <w:pPr>
        <w:pStyle w:val="TextBody"/>
        <w:bidi w:val="0"/>
        <w:spacing w:before="0" w:after="0"/>
        <w:ind w:left="0" w:right="0" w:hanging="0"/>
        <w:jc w:val="left"/>
        <w:rPr/>
      </w:pPr>
      <w:r>
        <w:rPr/>
        <w:t>​</w:t>
      </w:r>
    </w:p>
    <w:tbl>
      <w:tblPr>
        <w:tblW w:w="8403" w:type="dxa"/>
        <w:jc w:val="left"/>
        <w:tblInd w:w="0" w:type="dxa"/>
        <w:tblLayout w:type="fixed"/>
        <w:tblCellMar>
          <w:top w:w="0" w:type="dxa"/>
          <w:left w:w="0" w:type="dxa"/>
          <w:bottom w:w="0" w:type="dxa"/>
          <w:right w:w="0" w:type="dxa"/>
        </w:tblCellMar>
      </w:tblPr>
      <w:tblGrid>
        <w:gridCol w:w="5386"/>
        <w:gridCol w:w="346"/>
        <w:gridCol w:w="243"/>
        <w:gridCol w:w="897"/>
        <w:gridCol w:w="346"/>
        <w:gridCol w:w="234"/>
        <w:gridCol w:w="951"/>
      </w:tblGrid>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5.00% senior unsecured notes due in fiscal 2044 (a)</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450,000</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5.25% senior unsecured notes due in fiscal 2054 (b)</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Unamortized discount on 5.00% and 5.25% senior unsecured notes (a) (b)</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(19,239)</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Revolving credit agreement (c)</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notes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(6,102)</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(6,374)</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795,663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730,633</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Current installments of long-term debt</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excluding current installments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795,150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729,941</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5.00%</w:t>
            </w:r>
            <w:r>
              <w:rPr>
                <w:caps w:val="false"/>
                <w:smallCaps w:val="false"/>
              </w:rPr>
              <w:t xml:space="preserve"> </w:t>
            </w:r>
            <w:r>
              <w:rPr>
                <w:rFonts w:ascii="Times New Roman;Times;serif" w:hAnsi="Times New Roman;Times;serif"/>
                <w:b w:val="false"/>
                <w:i w:val="false"/>
                <w:caps w:val="false"/>
                <w:smallCaps w:val="false"/>
                <w:sz w:val="20"/>
              </w:rPr>
              <w:t>senior unsecured notes due in fiscal 2044 have an aggregate principal amount of $450,000, with an unamortized discount balance of $11,814</w:t>
            </w:r>
            <w:r>
              <w:rPr>
                <w:caps w:val="false"/>
                <w:smallCaps w:val="false"/>
              </w:rPr>
              <w:t xml:space="preserve"> </w:t>
            </w:r>
            <w:r>
              <w:rPr>
                <w:rFonts w:ascii="Times New Roman;Times;serif" w:hAnsi="Times New Roman;Times;serif"/>
                <w:b w:val="false"/>
                <w:i w:val="false"/>
                <w:caps w:val="false"/>
                <w:smallCaps w:val="false"/>
                <w:sz w:val="20"/>
              </w:rPr>
              <w:t>as of December 27, 2025. These notes bear interest at 5.00%</w:t>
            </w:r>
            <w:r>
              <w:rPr>
                <w:caps w:val="false"/>
                <w:smallCaps w:val="false"/>
              </w:rPr>
              <w:t xml:space="preserve"> </w:t>
            </w:r>
            <w:r>
              <w:rPr>
                <w:rFonts w:ascii="Times New Roman;Times;serif" w:hAnsi="Times New Roman;Times;serif"/>
                <w:b w:val="false"/>
                <w:i w:val="false"/>
                <w:caps w:val="false"/>
                <w:smallCaps w:val="false"/>
                <w:sz w:val="20"/>
              </w:rPr>
              <w:t>per annum and are due on October 1, 2044. The discount will be amortized and recognized as interest expense over the term of the notes as interest payments are made. The notes may be repurchased prior to maturity, in whole or in part, at any time at 100%</w:t>
            </w:r>
            <w:r>
              <w:rPr>
                <w:caps w:val="false"/>
                <w:smallCaps w:val="false"/>
              </w:rPr>
              <w:t xml:space="preserve"> </w:t>
            </w:r>
            <w:r>
              <w:rPr>
                <w:rFonts w:ascii="Times New Roman;Times;serif" w:hAnsi="Times New Roman;Times;serif"/>
                <w:b w:val="false"/>
                <w:i w:val="false"/>
                <w:caps w:val="false"/>
                <w:smallCaps w:val="false"/>
                <w:sz w:val="20"/>
              </w:rPr>
              <w:t>of their principal amount, plus a make-whole premium and accrued interest. These notes are guaranteed by certain subsidiaries of the Company.</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5.25%</w:t>
            </w:r>
            <w:r>
              <w:rPr>
                <w:caps w:val="false"/>
                <w:smallCaps w:val="false"/>
              </w:rPr>
              <w:t xml:space="preserve"> </w:t>
            </w:r>
            <w:r>
              <w:rPr>
                <w:rFonts w:ascii="Times New Roman;Times;serif" w:hAnsi="Times New Roman;Times;serif"/>
                <w:b w:val="false"/>
                <w:i w:val="false"/>
                <w:caps w:val="false"/>
                <w:smallCaps w:val="false"/>
                <w:sz w:val="20"/>
              </w:rPr>
              <w:t>senior unsecured notes due in fiscal 2054 have an aggregate principal amount of $305,000, with an unamortized discount balance of $6,976</w:t>
            </w:r>
            <w:r>
              <w:rPr>
                <w:caps w:val="false"/>
                <w:smallCaps w:val="false"/>
              </w:rPr>
              <w:t xml:space="preserve"> </w:t>
            </w:r>
            <w:r>
              <w:rPr>
                <w:rFonts w:ascii="Times New Roman;Times;serif" w:hAnsi="Times New Roman;Times;serif"/>
                <w:b w:val="false"/>
                <w:i w:val="false"/>
                <w:caps w:val="false"/>
                <w:smallCaps w:val="false"/>
                <w:sz w:val="20"/>
              </w:rPr>
              <w:t>as of December 27, 2025. These notes bear interest at 5.25%</w:t>
            </w:r>
            <w:r>
              <w:rPr>
                <w:caps w:val="false"/>
                <w:smallCaps w:val="false"/>
              </w:rPr>
              <w:t xml:space="preserve"> </w:t>
            </w:r>
            <w:r>
              <w:rPr>
                <w:rFonts w:ascii="Times New Roman;Times;serif" w:hAnsi="Times New Roman;Times;serif"/>
                <w:b w:val="false"/>
                <w:i w:val="false"/>
                <w:caps w:val="false"/>
                <w:smallCaps w:val="false"/>
                <w:sz w:val="20"/>
              </w:rPr>
              <w:t>per annum and are due on October 1, 2054. The discount will be amortized and recognized as interest expense over the term of the notes as interest payments are made. The notes may be repurchased prior to maturity, in whole or in part, at any time at 100%</w:t>
            </w:r>
            <w:r>
              <w:rPr>
                <w:caps w:val="false"/>
                <w:smallCaps w:val="false"/>
              </w:rPr>
              <w:t xml:space="preserve"> </w:t>
            </w:r>
            <w:r>
              <w:rPr>
                <w:rFonts w:ascii="Times New Roman;Times;serif" w:hAnsi="Times New Roman;Times;serif"/>
                <w:b w:val="false"/>
                <w:i w:val="false"/>
                <w:caps w:val="false"/>
                <w:smallCaps w:val="false"/>
                <w:sz w:val="20"/>
              </w:rPr>
              <w:t>of their principal amount, plus a make-whole premium and accrued interest. These notes are guaranteed by certain subsidiaries of the Company.</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July 10, 2025, the Company along with its wholly owned subsidiaries Valmont Industries Holland B.V. and Valmont Group Pty. Ltd., as borrowers, amended and restated the revolving credit agreement with the Company’s lenders. The maturity date of the revolving credit facility was extended to July 10, 2030. This facility provides for $800,000</w:t>
            </w:r>
            <w:r>
              <w:rPr>
                <w:caps w:val="false"/>
                <w:smallCaps w:val="false"/>
              </w:rPr>
              <w:t xml:space="preserve"> </w:t>
            </w:r>
            <w:r>
              <w:rPr>
                <w:rFonts w:ascii="Times New Roman;Times;serif" w:hAnsi="Times New Roman;Times;serif"/>
                <w:b w:val="false"/>
                <w:i w:val="false"/>
                <w:caps w:val="false"/>
                <w:smallCaps w:val="false"/>
                <w:sz w:val="20"/>
              </w:rPr>
              <w:t>in committed unsecured revolving credit loans, with available borrowings of up to $400,000</w:t>
            </w:r>
            <w:r>
              <w:rPr>
                <w:caps w:val="false"/>
                <w:smallCaps w:val="false"/>
              </w:rPr>
              <w:t xml:space="preserve"> </w:t>
            </w:r>
            <w:r>
              <w:rPr>
                <w:rFonts w:ascii="Times New Roman;Times;serif" w:hAnsi="Times New Roman;Times;serif"/>
                <w:b w:val="false"/>
                <w:i w:val="false"/>
                <w:caps w:val="false"/>
                <w:smallCaps w:val="false"/>
                <w:sz w:val="20"/>
              </w:rPr>
              <w:t xml:space="preserve">in foreign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currencies. The Company may increase the credit facility by up to an additional $400,000</w:t>
            </w:r>
            <w:r>
              <w:rPr>
                <w:caps w:val="false"/>
                <w:smallCaps w:val="false"/>
              </w:rPr>
              <w:t xml:space="preserve"> </w:t>
            </w:r>
            <w:r>
              <w:rPr>
                <w:rFonts w:ascii="Times New Roman;Times;serif" w:hAnsi="Times New Roman;Times;serif"/>
                <w:b w:val="false"/>
                <w:i w:val="false"/>
                <w:caps w:val="false"/>
                <w:smallCaps w:val="false"/>
                <w:sz w:val="20"/>
              </w:rPr>
              <w:t>at any time, subject to lenders agreeing to increase their commitments. The interest rate on the borrowings will be, at the Company’s option:</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term Secured Overnight Financing Rate (“SOFR”), based on a one-, three-, or six-month period, as selected by the Company, and a spread of 100</w:t>
            </w:r>
            <w:r>
              <w:rPr>
                <w:caps w:val="false"/>
                <w:smallCaps w:val="false"/>
              </w:rPr>
              <w:t xml:space="preserve"> </w:t>
            </w:r>
            <w:r>
              <w:rPr>
                <w:rFonts w:ascii="Times New Roman;Times;serif" w:hAnsi="Times New Roman;Times;serif"/>
                <w:b w:val="false"/>
                <w:i w:val="false"/>
                <w:caps w:val="false"/>
                <w:smallCaps w:val="false"/>
                <w:sz w:val="20"/>
              </w:rPr>
              <w:t>to 162.5</w:t>
            </w:r>
            <w:r>
              <w:rPr>
                <w:caps w:val="false"/>
                <w:smallCaps w:val="false"/>
              </w:rPr>
              <w:t xml:space="preserve"> </w:t>
            </w:r>
            <w:r>
              <w:rPr>
                <w:rFonts w:ascii="Times New Roman;Times;serif" w:hAnsi="Times New Roman;Times;serif"/>
                <w:b w:val="false"/>
                <w:i w:val="false"/>
                <w:caps w:val="false"/>
                <w:smallCaps w:val="false"/>
                <w:sz w:val="20"/>
              </w:rPr>
              <w:t>basis points, depending on the credit rating of the Company’s senior unsecured long-term debt published by S&amp;P Global Ratings and Moody’s Ratings;</w:t>
            </w:r>
          </w:p>
        </w:tc>
      </w:tr>
    </w:tbl>
    <w:tbl>
      <w:tblPr>
        <w:tblW w:w="1656" w:type="dxa"/>
        <w:jc w:val="left"/>
        <w:tblInd w:w="0" w:type="dxa"/>
        <w:tblLayout w:type="fixed"/>
        <w:tblCellMar>
          <w:top w:w="28" w:type="dxa"/>
          <w:left w:w="28" w:type="dxa"/>
          <w:bottom w:w="28" w:type="dxa"/>
          <w:right w:w="28" w:type="dxa"/>
        </w:tblCellMar>
      </w:tblPr>
      <w:tblGrid>
        <w:gridCol w:w="124"/>
        <w:gridCol w:w="346"/>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of</w:t>
            </w:r>
          </w:p>
        </w:tc>
      </w:tr>
    </w:tbl>
    <w:tbl>
      <w:tblPr>
        <w:tblW w:w="2361" w:type="dxa"/>
        <w:jc w:val="left"/>
        <w:tblInd w:w="0" w:type="dxa"/>
        <w:tblLayout w:type="fixed"/>
        <w:tblCellMar>
          <w:top w:w="28" w:type="dxa"/>
          <w:left w:w="28" w:type="dxa"/>
          <w:bottom w:w="28" w:type="dxa"/>
          <w:right w:w="28" w:type="dxa"/>
        </w:tblCellMar>
      </w:tblPr>
      <w:tblGrid>
        <w:gridCol w:w="124"/>
        <w:gridCol w:w="25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prime lending rate,</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overnight bank rate</w:t>
            </w:r>
            <w:r>
              <w:rPr>
                <w:caps w:val="false"/>
                <w:smallCaps w:val="false"/>
              </w:rPr>
              <w:t xml:space="preserve"> </w:t>
            </w:r>
            <w:r>
              <w:rPr>
                <w:rFonts w:ascii="Times New Roman;Times;serif" w:hAnsi="Times New Roman;Times;serif"/>
                <w:b w:val="false"/>
                <w:i w:val="false"/>
                <w:caps w:val="false"/>
                <w:smallCaps w:val="false"/>
                <w:sz w:val="20"/>
              </w:rPr>
              <w:t>plus 50</w:t>
            </w:r>
            <w:r>
              <w:rPr>
                <w:caps w:val="false"/>
                <w:smallCaps w:val="false"/>
              </w:rPr>
              <w:t xml:space="preserve"> </w:t>
            </w:r>
            <w:r>
              <w:rPr>
                <w:rFonts w:ascii="Times New Roman;Times;serif" w:hAnsi="Times New Roman;Times;serif"/>
                <w:b w:val="false"/>
                <w:i w:val="false"/>
                <w:caps w:val="false"/>
                <w:smallCaps w:val="false"/>
                <w:sz w:val="20"/>
              </w:rPr>
              <w:t>basis points, or</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term SOFR (based on a one-month period) plus 100</w:t>
            </w:r>
            <w:r>
              <w:rPr>
                <w:caps w:val="false"/>
                <w:smallCaps w:val="false"/>
              </w:rPr>
              <w:t xml:space="preserve"> </w:t>
            </w:r>
            <w:r>
              <w:rPr>
                <w:rFonts w:ascii="Times New Roman;Times;serif" w:hAnsi="Times New Roman;Times;serif"/>
                <w:b w:val="false"/>
                <w:i w:val="false"/>
                <w:caps w:val="false"/>
                <w:smallCaps w:val="false"/>
                <w:sz w:val="20"/>
              </w:rPr>
              <w:t>basis points,</w:t>
            </w:r>
          </w:p>
        </w:tc>
      </w:tr>
    </w:tbl>
    <w:p>
      <w:pPr>
        <w:pStyle w:val="TextBody"/>
        <w:bidi w:val="0"/>
        <w:spacing w:before="0" w:after="240"/>
        <w:ind w:left="1800" w:right="0" w:hanging="0"/>
        <w:jc w:val="left"/>
        <w:rPr>
          <w:rFonts w:ascii="Times New Roman;Times;serif" w:hAnsi="Times New Roman;Times;serif"/>
          <w:sz w:val="20"/>
        </w:rPr>
      </w:pPr>
      <w:r>
        <w:rPr>
          <w:rFonts w:ascii="Times New Roman;Times;serif" w:hAnsi="Times New Roman;Times;serif"/>
          <w:sz w:val="20"/>
        </w:rPr>
        <w:t>plus, in each case, 0 to 62.5 basis points, depending on the credit rating of the Company’s senior unsecured long-term debt published by S&amp;P Global Ratings and Moody’s Ratings; or</w:t>
      </w:r>
    </w:p>
    <w:tbl>
      <w:tblPr>
        <w:tblW w:w="10205" w:type="dxa"/>
        <w:jc w:val="left"/>
        <w:tblInd w:w="0" w:type="dxa"/>
        <w:tblLayout w:type="fixed"/>
        <w:tblCellMar>
          <w:top w:w="28" w:type="dxa"/>
          <w:left w:w="28" w:type="dxa"/>
          <w:bottom w:w="28" w:type="dxa"/>
          <w:right w:w="28" w:type="dxa"/>
        </w:tblCellMar>
      </w:tblPr>
      <w:tblGrid>
        <w:gridCol w:w="124"/>
        <w:gridCol w:w="379"/>
        <w:gridCol w:w="9702"/>
      </w:tblGrid>
      <w:tr>
        <w:trPr/>
        <w:tc>
          <w:tcPr>
            <w:tcW w:w="124"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daily simple SOFR and a spread of 100</w:t>
            </w:r>
            <w:r>
              <w:rPr>
                <w:caps w:val="false"/>
                <w:smallCaps w:val="false"/>
              </w:rPr>
              <w:t xml:space="preserve"> </w:t>
            </w:r>
            <w:r>
              <w:rPr>
                <w:rFonts w:ascii="Times New Roman;Times;serif" w:hAnsi="Times New Roman;Times;serif"/>
                <w:b w:val="false"/>
                <w:i w:val="false"/>
                <w:caps w:val="false"/>
                <w:smallCaps w:val="false"/>
                <w:sz w:val="20"/>
              </w:rPr>
              <w:t>to 162.5</w:t>
            </w:r>
            <w:r>
              <w:rPr>
                <w:caps w:val="false"/>
                <w:smallCaps w:val="false"/>
              </w:rPr>
              <w:t xml:space="preserve"> </w:t>
            </w:r>
            <w:r>
              <w:rPr>
                <w:rFonts w:ascii="Times New Roman;Times;serif" w:hAnsi="Times New Roman;Times;serif"/>
                <w:b w:val="false"/>
                <w:i w:val="false"/>
                <w:caps w:val="false"/>
                <w:smallCaps w:val="false"/>
                <w:sz w:val="20"/>
              </w:rPr>
              <w:t>basis points, depending on the credit rating of the Company’s senior unsecured long-term debt published by S&amp;P Global Ratings and Moody’s Ratings.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a revolving credit facility for general liquidity purposes including for working capital, capital expenditures, debt service, taxes, and pension contributions. As of December 27, 2025, the Company had outstanding borrowings of $65,000 under its revolving credit facility. As of December 27, 2025, the Company could borrow an additional $734,838 under the facility, after accounting for standby letters of credit totaling $162 related to certain insurance obligations. The Company’s revolving credit facility includes a financial leverage covenant, with which the Company was in compliance as of December 27,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minimum aggregate maturities of long-term debt for each of the five fiscal years following the fiscal year ended December 27, 2025 are as follows: $513, $42, $0, $0, and $65,000.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obligations under the 5.00% senior unsecured notes due in fiscal 2044, the 5.25% senior unsecured notes due in fiscal 2054, and the revolving credit facility are guaranteed by the Company and its wholly owned subsidiaries Valmont Telecommunications, Inc., Valmont Coatings, Inc., Valmont Newmark, Inc., and Valmont Queensland Pty. Ltd.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14 for further information on the fair value of the Company’s long-term debt.</w:t>
      </w:r>
    </w:p>
    <w:p>
      <w:pPr>
        <w:pStyle w:val="TextBody"/>
        <w:bidi w:val="0"/>
        <w:spacing w:before="0" w:after="240"/>
        <w:ind w:left="0" w:right="0" w:hanging="0"/>
        <w:jc w:val="left"/>
        <w:rPr>
          <w:rFonts w:ascii="Times New Roman;Times;serif" w:hAnsi="Times New Roman;Times;serif"/>
          <w:b/>
          <w:sz w:val="20"/>
        </w:rPr>
      </w:pPr>
      <w:bookmarkStart w:id="1342" w:name="a11STOCKBASEDCOMPENSATION_673280"/>
      <w:bookmarkEnd w:id="1342"/>
      <w:r>
        <w:rPr>
          <w:rFonts w:ascii="Times New Roman;Times;serif" w:hAnsi="Times New Roman;Times;serif"/>
          <w:b/>
          <w:sz w:val="20"/>
        </w:rPr>
        <w:t>(11)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administers stock</w:t>
        <w:noBreakHyphen/>
        <w:t>based compensation plans that have been approved by its shareholders. Under these plans, the Human Resources Committee of the Board of Directors is authorized to grant various types of awards, including incentive stock options, nonqualified stock options, stock appreciation rights, restricted stock awards, restricted stock units, performance stock units, and common stock bonuses. As of December 27, 2025, 1,367,546 shares of common stock remained available for issuance under the plans. The shares and options issued and available are subject to changes in capitalization. The Company’s policy is to issue shares upon the exercise of stock options, the vesting of restricted stock units, or the issuance of restricted stock from treasury shares held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fiscal years ended December 27, 2025, December 28, 2024, and December 30, 2023, the Company recorded stock-based compensation expenses of $24,308, $29,869, and $39,219, respectively, included in “Selling, general, and administrative expenses” in the Consolidated Statements of Earnings. The associated tax benefits recorded for these periods were $3,416, $3,412, and $7,092, respectively.</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720" w:right="0" w:hanging="0"/>
        <w:jc w:val="left"/>
        <w:rPr>
          <w:rFonts w:ascii="Times New Roman;Times;serif" w:hAnsi="Times New Roman;Times;serif"/>
          <w:b/>
          <w:i/>
          <w:sz w:val="20"/>
        </w:rPr>
      </w:pPr>
      <w:bookmarkStart w:id="1343" w:name="Tc_Y27mnOv-sEysfWwbOUzbDg_12_4"/>
      <w:bookmarkStart w:id="1344" w:name="Tc_JLucFhw9uEeYx9PboJH9qA_12_0"/>
      <w:bookmarkStart w:id="1345" w:name="Tc_7f4E4kKFIU28puVujq-B1g_11_4"/>
      <w:bookmarkStart w:id="1346" w:name="Tc_z1Kw3jpWRkOy4PPFnah2ZA_11_0"/>
      <w:bookmarkStart w:id="1347" w:name="Tc_6D3kNE577kCOQKuNfB1sgw_10_9"/>
      <w:bookmarkStart w:id="1348" w:name="Tc_0kcMlm32v064yx5-NdIVBw_10_4"/>
      <w:bookmarkStart w:id="1349" w:name="Tc_4fqDWpi000GuO8BQj_PS4g_10_0"/>
      <w:bookmarkStart w:id="1350" w:name="Tc_uepRSJkJekWJu8tFpSZGng_9_0"/>
      <w:bookmarkStart w:id="1351" w:name="Tc_08fOHU7syky7dl0VxXLL5Q_8_0"/>
      <w:bookmarkStart w:id="1352" w:name="Tc_T-ITlW7Exk-J2tfvge-OXA_7_0"/>
      <w:bookmarkStart w:id="1353" w:name="Tc_-OKQMU12_0WqHAhYiynJzQ_6_4"/>
      <w:bookmarkStart w:id="1354" w:name="Tc_2DnCu0wfxUGO6Mik3xE5zA_6_0"/>
      <w:bookmarkStart w:id="1355" w:name="Tc_CNQY3fG83EyVMOBfA7pKLQ_5_9"/>
      <w:bookmarkStart w:id="1356" w:name="Tc_OXBe40oNPkqrLgwXBFLl8A_5_7"/>
      <w:bookmarkStart w:id="1357" w:name="Tc_59cFS7AngUOS6L2YjeuIww_5_4"/>
      <w:bookmarkStart w:id="1358" w:name="Tc_TAkNulvZhU25PnMG8ziVOQ_5_2"/>
      <w:bookmarkStart w:id="1359" w:name="Tc_yUerWsBo1kaKdW5Y5AIh3g_4_9"/>
      <w:bookmarkStart w:id="1360" w:name="Tc_gSWCekUo9kSSL5oJ85-Otw_4_7"/>
      <w:bookmarkStart w:id="1361" w:name="Tc_qTnybu1E0kK16UGQYCee4A_4_4"/>
      <w:bookmarkStart w:id="1362" w:name="Tc_p7c4CYXe40iRtZJLzpjTkw_4_2"/>
      <w:bookmarkStart w:id="1363" w:name="Tc_YS9ZsZ9Tm0ay3IQjCykJpQ_3_9"/>
      <w:bookmarkStart w:id="1364" w:name="Tc_TsftqfCe_k-ImwtbonEBwQ_3_7"/>
      <w:bookmarkStart w:id="1365" w:name="Tc_nPK8q7l7h0-g9K_KoKaq3g_3_4"/>
      <w:bookmarkStart w:id="1366" w:name="Tc_vUV7a5rBtUiVVeyTS8Vsnw_2_7"/>
      <w:bookmarkStart w:id="1367" w:name="Tc_DdMneCSyt0CdXa20zvFGYw_2_4"/>
      <w:bookmarkStart w:id="1368" w:name="Tc_U1ph_kHpnUWbMul7io_xug_1_7"/>
      <w:bookmarkStart w:id="1369" w:name="Tc_DFMjg2EW20-iMwR3h7_0dg_12_4"/>
      <w:bookmarkStart w:id="1370" w:name="Tc_hUvRxIEEpUKCZ0bzi1-FRg_12_0"/>
      <w:bookmarkStart w:id="1371" w:name="Tc_dS60xgepM0CBSrJHrrlxZg_11_4"/>
      <w:bookmarkStart w:id="1372" w:name="Tc_Au8Ev-cKTUeNeOQsvr5_Ig_11_0"/>
      <w:bookmarkStart w:id="1373" w:name="Tc_SqLNUDQGJku2DtzpEvOY7Q_10_9"/>
      <w:bookmarkStart w:id="1374" w:name="Tc_RiF3y6EoqkKipKo0ignOEg_10_4"/>
      <w:bookmarkStart w:id="1375" w:name="Tc_7ZDX9kvuik6QAwxi8VPZ9A_10_0"/>
      <w:bookmarkStart w:id="1376" w:name="Tc_vO9S5crSOEqsWzLm9MvKOw_9_0"/>
      <w:bookmarkStart w:id="1377" w:name="Tc_npIUGxDFkEmHdkp6AFAlYA_8_0"/>
      <w:bookmarkStart w:id="1378" w:name="Tc_xbLn3qP4rkexvGNkDHgyrQ_7_0"/>
      <w:bookmarkStart w:id="1379" w:name="Tc_oRRArtfN0UWAImL_O4de9Q_6_4"/>
      <w:bookmarkStart w:id="1380" w:name="Tc_jw8E9IGu3kioF1kVse8ltA_6_0"/>
      <w:bookmarkStart w:id="1381" w:name="Tc_uzJkYobUYkC3MSwP9FC30w_5_9"/>
      <w:bookmarkStart w:id="1382" w:name="Tc_KVLFWVpiAEO3HXKlo_4wWQ_5_7"/>
      <w:bookmarkStart w:id="1383" w:name="Tc_w4oWPP2r9kOnhesh4VKGzQ_5_4"/>
      <w:bookmarkStart w:id="1384" w:name="Tc_95YPD2cxvEmdu17S4VN2rQ_5_2"/>
      <w:bookmarkStart w:id="1385" w:name="Tc_kb82Z0dA1UuRhylykXTLJQ_4_9"/>
      <w:bookmarkStart w:id="1386" w:name="Tc_g2tbVfgfE0Ohx13qqQ0feA_4_7"/>
      <w:bookmarkStart w:id="1387" w:name="Tc_6ttxzOPhu0m_IDbZK49lhQ_4_4"/>
      <w:bookmarkStart w:id="1388" w:name="Tc_xpGMneMfJU2ZFZEd-_BeLg_4_2"/>
      <w:bookmarkStart w:id="1389" w:name="Tc_SUiA50Ph1k6gsNHfktnxiw_3_9"/>
      <w:bookmarkStart w:id="1390" w:name="Tc_uHvBAHlouEGypi6BFEN0DA_3_7"/>
      <w:bookmarkStart w:id="1391" w:name="Tc_Dl_vz1uHSUiV-8CF3xhjEA_3_4"/>
      <w:bookmarkStart w:id="1392" w:name="Tc_bvc4fF_S_Em4sy5FNnv1cQ_2_7"/>
      <w:bookmarkStart w:id="1393" w:name="Tc_sfUifvDDDkKEpfq10JzVGA_2_4"/>
      <w:bookmarkStart w:id="1394" w:name="Tc_pEgwulX3AkunhZlFONR-rw_1_7"/>
      <w:bookmarkStart w:id="1395" w:name="Tc_qdQGSEjgAkS2StAmXTHKbw_6_9"/>
      <w:bookmarkStart w:id="1396" w:name="Tc_PDUuLvMbyU6Yu4hW1uYn7Q_6_6"/>
      <w:bookmarkStart w:id="1397" w:name="Tc_PmrTJEioXEyNiFY5ofV7-Q_6_3"/>
      <w:bookmarkStart w:id="1398" w:name="Tc_58abngyi2UyqznalauCvSA_6_0"/>
      <w:bookmarkStart w:id="1399" w:name="Tc_GbGAQEHq-EqzC9OfnDbjvw_5_8"/>
      <w:bookmarkStart w:id="1400" w:name="Tc_nlz9Wj0ndkuUhLr5gThdAg_5_5"/>
      <w:bookmarkStart w:id="1401" w:name="Tc_MrKXg2fwHUS6CxfLhTbjDQ_5_2"/>
      <w:bookmarkStart w:id="1402" w:name="Tc_tDzRcXMsAkSS5Tv_RkO-nw_5_0"/>
      <w:bookmarkStart w:id="1403" w:name="Tc_PiBm8P2jUU2UyKX1thKpBg_4_9"/>
      <w:bookmarkStart w:id="1404" w:name="Tc_WLLAc_wrA0CRCy0P69ZJEA_4_6"/>
      <w:bookmarkStart w:id="1405" w:name="Tc_aOkwPvCkaEOyY9YTCknJDQ_4_3"/>
      <w:bookmarkStart w:id="1406" w:name="Tc_Kvo2p4BTvEqD2E3BULPCpw_4_0"/>
      <w:bookmarkStart w:id="1407" w:name="Tc_sC6GgkGdYUunoJyu6ihURw_3_9"/>
      <w:bookmarkStart w:id="1408" w:name="Tc_p5KK_Cazz0uoHdymssYU0w_3_6"/>
      <w:bookmarkStart w:id="1409" w:name="Tc_YG9zv3FpF0qw67yjMEJb_w_3_3"/>
      <w:bookmarkStart w:id="1410" w:name="Tc_--f85SIE5k24tUwDjcsIVQ_3_0"/>
      <w:bookmarkStart w:id="1411" w:name="Tc_zWoG1dE1QkKBuqJSbekY7w_2_8"/>
      <w:bookmarkStart w:id="1412" w:name="Tc_idSl_ZeReE2m5OKbUXXR6Q_2_5"/>
      <w:bookmarkStart w:id="1413" w:name="Tc_KBC4xT2N5kqQ0QxfpkjC4A_2_2"/>
      <w:bookmarkStart w:id="1414" w:name="Tc_HPsLJjcv_Ui0Bc3jHE2Q8g_1_8"/>
      <w:bookmarkStart w:id="1415" w:name="Tc_TXEftFM0LES6Wda5x9nAKQ_1_5"/>
      <w:bookmarkStart w:id="1416" w:name="Tc_cX2NrayNB0iNGolsrbvo7w_1_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rFonts w:ascii="Times New Roman;Times;serif" w:hAnsi="Times New Roman;Times;serif"/>
          <w:b/>
          <w:i/>
          <w:sz w:val="20"/>
        </w:rPr>
        <w:t>Stock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Stock options granted under the plans have an exercise price equal to the closing market price on the date of the grant. Options vest beginning on the first anniversary of the grant date, either in equal amounts over three years or fully on the grant’s fifth anniversary. The expiration of grants ranges from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to ten years from the date of the award.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approximately $5,513 of unrecognized stock option compensation expense will be recognized over a weighted-average period of 2.38 years. During the fiscal years ended December 27, 2025, December 28, 2024, and December 30, 2023, compensation expense for stock options was $2,154, $2,252, and $3,687,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a binomial option pricing model to value its stock options. The fair value of each option grant made as of December 27, 2025, December 28, 2024, and December 30, 2023 was estimated using the following assumptions:</w:t>
      </w:r>
    </w:p>
    <w:p>
      <w:pPr>
        <w:pStyle w:val="TextBody"/>
        <w:bidi w:val="0"/>
        <w:spacing w:before="0" w:after="0"/>
        <w:ind w:left="0" w:right="0" w:hanging="0"/>
        <w:jc w:val="left"/>
        <w:rPr/>
      </w:pPr>
      <w:r>
        <w:rPr/>
        <w:t>​</w:t>
      </w:r>
    </w:p>
    <w:tbl>
      <w:tblPr>
        <w:tblW w:w="6340" w:type="dxa"/>
        <w:jc w:val="left"/>
        <w:tblInd w:w="0" w:type="dxa"/>
        <w:tblLayout w:type="fixed"/>
        <w:tblCellMar>
          <w:top w:w="0" w:type="dxa"/>
          <w:left w:w="0" w:type="dxa"/>
          <w:bottom w:w="0" w:type="dxa"/>
          <w:right w:w="0" w:type="dxa"/>
        </w:tblCellMar>
      </w:tblPr>
      <w:tblGrid>
        <w:gridCol w:w="2311"/>
        <w:gridCol w:w="346"/>
        <w:gridCol w:w="724"/>
        <w:gridCol w:w="416"/>
        <w:gridCol w:w="109"/>
        <w:gridCol w:w="724"/>
        <w:gridCol w:w="416"/>
        <w:gridCol w:w="109"/>
        <w:gridCol w:w="757"/>
        <w:gridCol w:w="428"/>
      </w:tblGrid>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4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31.62</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31.65</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31.97</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4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w:t>
            </w:r>
          </w:p>
        </w:tc>
        <w:tc>
          <w:tcPr>
            <w:tcW w:w="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w:t>
            </w:r>
          </w:p>
        </w:tc>
        <w:tc>
          <w:tcPr>
            <w:tcW w:w="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w:t>
            </w:r>
          </w:p>
        </w:tc>
        <w:tc>
          <w:tcPr>
            <w:tcW w:w="4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life from vesting date</w:t>
            </w:r>
          </w:p>
        </w:tc>
        <w:tc>
          <w:tcPr>
            <w:tcW w:w="34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5.4</w:t>
            </w:r>
            <w:r>
              <w:rPr>
                <w:rFonts w:ascii="Times New Roman;Times;serif" w:hAnsi="Times New Roman;Times;serif"/>
                <w:sz w:val="20"/>
              </w:rPr>
              <w:t xml:space="preserve"> </w:t>
            </w:r>
            <w:r>
              <w:rPr>
                <w:rFonts w:ascii="Times New Roman;Times;serif" w:hAnsi="Times New Roman;Times;serif"/>
                <w:sz w:val="18"/>
              </w:rPr>
              <w:t>yrs</w:t>
            </w:r>
          </w:p>
        </w:tc>
        <w:tc>
          <w:tcPr>
            <w:tcW w:w="41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5.4</w:t>
            </w:r>
            <w:r>
              <w:rPr>
                <w:rFonts w:ascii="Times New Roman;Times;serif" w:hAnsi="Times New Roman;Times;serif"/>
                <w:sz w:val="20"/>
              </w:rPr>
              <w:t xml:space="preserve"> </w:t>
            </w:r>
            <w:r>
              <w:rPr>
                <w:rFonts w:ascii="Times New Roman;Times;serif" w:hAnsi="Times New Roman;Times;serif"/>
                <w:sz w:val="18"/>
              </w:rPr>
              <w:t>yrs</w:t>
            </w:r>
          </w:p>
        </w:tc>
        <w:tc>
          <w:tcPr>
            <w:tcW w:w="41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5.4</w:t>
            </w:r>
            <w:r>
              <w:rPr>
                <w:rFonts w:ascii="Times New Roman;Times;serif" w:hAnsi="Times New Roman;Times;serif"/>
                <w:sz w:val="20"/>
              </w:rPr>
              <w:t xml:space="preserve"> </w:t>
            </w:r>
            <w:r>
              <w:rPr>
                <w:rFonts w:ascii="Times New Roman;Times;serif" w:hAnsi="Times New Roman;Times;serif"/>
                <w:sz w:val="18"/>
              </w:rPr>
              <w:t>yrs</w:t>
            </w:r>
          </w:p>
        </w:tc>
        <w:tc>
          <w:tcPr>
            <w:tcW w:w="428"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4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0.86</w:t>
            </w:r>
          </w:p>
        </w:tc>
        <w:tc>
          <w:tcPr>
            <w:tcW w:w="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0.88</w:t>
            </w:r>
          </w:p>
        </w:tc>
        <w:tc>
          <w:tcPr>
            <w:tcW w:w="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0.87</w:t>
            </w:r>
          </w:p>
        </w:tc>
        <w:tc>
          <w:tcPr>
            <w:tcW w:w="4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stock option activity for the fiscal years ended December 27, 2025, December 28, 2024, and December 30, 2023:</w:t>
      </w:r>
    </w:p>
    <w:p>
      <w:pPr>
        <w:pStyle w:val="TextBody"/>
        <w:bidi w:val="0"/>
        <w:spacing w:before="0" w:after="0"/>
        <w:ind w:left="0" w:right="0" w:hanging="0"/>
        <w:jc w:val="left"/>
        <w:rPr/>
      </w:pPr>
      <w:r>
        <w:rPr/>
        <w:t>​</w:t>
      </w:r>
    </w:p>
    <w:tbl>
      <w:tblPr>
        <w:tblW w:w="9519" w:type="dxa"/>
        <w:jc w:val="left"/>
        <w:tblInd w:w="0" w:type="dxa"/>
        <w:tblLayout w:type="fixed"/>
        <w:tblCellMar>
          <w:top w:w="0" w:type="dxa"/>
          <w:left w:w="0" w:type="dxa"/>
          <w:bottom w:w="0" w:type="dxa"/>
          <w:right w:w="0" w:type="dxa"/>
        </w:tblCellMar>
      </w:tblPr>
      <w:tblGrid>
        <w:gridCol w:w="4381"/>
        <w:gridCol w:w="346"/>
        <w:gridCol w:w="946"/>
        <w:gridCol w:w="346"/>
        <w:gridCol w:w="206"/>
        <w:gridCol w:w="635"/>
        <w:gridCol w:w="346"/>
        <w:gridCol w:w="1036"/>
        <w:gridCol w:w="346"/>
        <w:gridCol w:w="202"/>
        <w:gridCol w:w="729"/>
      </w:tblGrid>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20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20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Contractual</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Intrinsic</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as of December 28, 2024</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133,433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253.11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  ​</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22,216</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411.97</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pPr>
            <w:r>
              <w:rPr/>
              <w:t>  ​</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(34,215)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227.29</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  ​</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(2,250)</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332.63</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pPr>
            <w:r>
              <w:rPr/>
              <w:t>  ​</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as of December 27,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119,184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289.91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7.89</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14,575</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Options vested or expected to vest as of December 27, 2025</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117,062</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288.95</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14,427</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Options exercisable as of December 27,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68,307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250.49</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6.91</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11,046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 average per share fair value of options granted during the fiscal year ended December 27, 2025 was $130.22.</w:t>
      </w:r>
    </w:p>
    <w:p>
      <w:pPr>
        <w:pStyle w:val="TextBody"/>
        <w:bidi w:val="0"/>
        <w:spacing w:before="0" w:after="0"/>
        <w:ind w:left="0" w:right="0" w:hanging="0"/>
        <w:jc w:val="left"/>
        <w:rPr/>
      </w:pPr>
      <w:r>
        <w:rPr/>
        <w:t>​</w:t>
      </w:r>
    </w:p>
    <w:tbl>
      <w:tblPr>
        <w:tblW w:w="9519" w:type="dxa"/>
        <w:jc w:val="left"/>
        <w:tblInd w:w="0" w:type="dxa"/>
        <w:tblLayout w:type="fixed"/>
        <w:tblCellMar>
          <w:top w:w="0" w:type="dxa"/>
          <w:left w:w="0" w:type="dxa"/>
          <w:bottom w:w="0" w:type="dxa"/>
          <w:right w:w="0" w:type="dxa"/>
        </w:tblCellMar>
      </w:tblPr>
      <w:tblGrid>
        <w:gridCol w:w="4381"/>
        <w:gridCol w:w="346"/>
        <w:gridCol w:w="946"/>
        <w:gridCol w:w="346"/>
        <w:gridCol w:w="206"/>
        <w:gridCol w:w="635"/>
        <w:gridCol w:w="346"/>
        <w:gridCol w:w="1036"/>
        <w:gridCol w:w="346"/>
        <w:gridCol w:w="224"/>
        <w:gridCol w:w="707"/>
      </w:tblGrid>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Contractual</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Intrinsic</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as of December 30, 2023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181,530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220.77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  ​</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25,548</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331.47</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  ​</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(49,583)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164.38</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  ​</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(24,062)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268.84</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  ​</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as of December 28, 2024</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133,433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253.11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8,281</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Options vested or expected to vest as of December 28, 2024</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131,198</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252.57</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8,200</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Options exercisable as of December 28, 2024</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79,824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232.00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6,340</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 average per share fair value of options granted during the fiscal year ended December 28, 2024 was $107.27.</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1417" w:name="Tc_G9rTtzqDHUydL9UGqjg0IA_6_8"/>
      <w:bookmarkStart w:id="1418" w:name="Tc_oPZ1--hXgU6VL8YSk0VW8g_6_5"/>
      <w:bookmarkStart w:id="1419" w:name="Tc_U1GYUyOMQUmWev8FiUGBUw_6_2"/>
      <w:bookmarkStart w:id="1420" w:name="Tc_kQPbcIidpki7tpQM-jRbBQ_6_0"/>
      <w:bookmarkStart w:id="1421" w:name="Tc_IkSZFrSllkKsiryvz8KetQ_5_8"/>
      <w:bookmarkStart w:id="1422" w:name="Tc_mK5Qs22nAUqsX602DEx2fg_5_5"/>
      <w:bookmarkStart w:id="1423" w:name="Tc_pX_aIuBd-UWzEr_fOfVULg_5_2"/>
      <w:bookmarkStart w:id="1424" w:name="Tc_AJE0S_rQokCSt_9RC_iluQ_5_0"/>
      <w:bookmarkStart w:id="1425" w:name="Tc_gXtog4-ByE6gCk914I8PZg_4_0"/>
      <w:bookmarkStart w:id="1426" w:name="Tc_LrZKvdPrME-4hJjwXTVDVQ_3_8"/>
      <w:bookmarkStart w:id="1427" w:name="Tc_0FG5Pt3buU60FOgreCZTuA_3_5"/>
      <w:bookmarkStart w:id="1428" w:name="Tc_xmpmgTDN1060NQvUk1MODA_3_2"/>
      <w:bookmarkStart w:id="1429" w:name="Tc_n5snZeaVoUmg0hZSK1ozOg_2_8"/>
      <w:bookmarkStart w:id="1430" w:name="Tc_AgIwbErOwku7R-Nfq9lbqw_2_5"/>
      <w:bookmarkStart w:id="1431" w:name="Tc_fyFmIo8ryk2vViNLzOQbtg_2_2"/>
      <w:bookmarkStart w:id="1432" w:name="Tc_Hs3zkUXMjkedARkfETigIw_1_2"/>
      <w:bookmarkStart w:id="1433" w:name="Tc_jM_sAB5qRke3sMg4OtzpFA_12_4"/>
      <w:bookmarkStart w:id="1434" w:name="Tc_-OfNYC3VREu_wIjhCzFEUA_12_0"/>
      <w:bookmarkStart w:id="1435" w:name="Tc_sCcoQhSUyEe5ilZoGUNwDw_11_4"/>
      <w:bookmarkStart w:id="1436" w:name="Tc_IYeHqyo6IEOsOIJ0OYo_pQ_11_0"/>
      <w:bookmarkStart w:id="1437" w:name="Tc_tzHmCN8bYU-z0uwkBQcI_g_10_9"/>
      <w:bookmarkStart w:id="1438" w:name="Tc_khwbzKafOUmHwitmgnyqcQ_10_4"/>
      <w:bookmarkStart w:id="1439" w:name="Tc_y6a0_MB1LEGv9DENtT6fQg_10_0"/>
      <w:bookmarkStart w:id="1440" w:name="Tc_AGe_r3jsKkuGA-etT_5egA_9_0"/>
      <w:bookmarkStart w:id="1441" w:name="Tc_quj5laIAf0icSASASEqgsw_8_0"/>
      <w:bookmarkStart w:id="1442" w:name="Tc_obFOWQGSSUaVjFMDxf8Mzw_7_0"/>
      <w:bookmarkStart w:id="1443" w:name="Tc_qid8JfE4nEWdB4YDOwfGEw_6_4"/>
      <w:bookmarkStart w:id="1444" w:name="Tc_GBj-evPZTUKmBGgXBoSivQ_6_0"/>
      <w:bookmarkStart w:id="1445" w:name="Tc_ECidsyA-6Ui6i-i_3pLHnA_5_9"/>
      <w:bookmarkStart w:id="1446" w:name="Tc_lYPudLsw9027Dzn18lbvsw_5_7"/>
      <w:bookmarkStart w:id="1447" w:name="Tc_tLX4i9CStkCbHVLqc0pEwQ_5_4"/>
      <w:bookmarkStart w:id="1448" w:name="Tc_W-HYZZTeE0i4P1XEtLCL1A_5_2"/>
      <w:bookmarkStart w:id="1449" w:name="Tc_v73BBy2RFUO2iD5O7xsSsw_4_9"/>
      <w:bookmarkStart w:id="1450" w:name="Tc_VpBCi3kka0qJfHVbSG3_ng_4_7"/>
      <w:bookmarkStart w:id="1451" w:name="Tc_xD9iSACxi0WW9N5SABbL5w_4_4"/>
      <w:bookmarkStart w:id="1452" w:name="Tc_ejvckQT-AkWrKG3Y3PgS0Q_4_2"/>
      <w:bookmarkStart w:id="1453" w:name="Tc_ot1VtFQ4AUWizqgqv9HBAA_3_9"/>
      <w:bookmarkStart w:id="1454" w:name="Tc_4D45F2X9fkmqm5xyDuCXug_3_7"/>
      <w:bookmarkStart w:id="1455" w:name="Tc_wLhmnAYMHU-ZKVXVYWnenw_3_4"/>
      <w:bookmarkStart w:id="1456" w:name="Tc_BDIDjLVyD0-6L2FETaSyfA_2_7"/>
      <w:bookmarkStart w:id="1457" w:name="Tc_I_tVLWHSNUaL0BwoNx8gwA_2_4"/>
      <w:bookmarkStart w:id="1458" w:name="Tc_PnqGzC6ZHUeE1x7QTcORrg_1_7"/>
      <w:bookmarkStart w:id="1459" w:name="Tc_G9rTtzqDHUydL9UGqjg0IA_6_8"/>
      <w:bookmarkStart w:id="1460" w:name="Tc_oPZ1--hXgU6VL8YSk0VW8g_6_5"/>
      <w:bookmarkStart w:id="1461" w:name="Tc_U1GYUyOMQUmWev8FiUGBUw_6_2"/>
      <w:bookmarkStart w:id="1462" w:name="Tc_kQPbcIidpki7tpQM-jRbBQ_6_0"/>
      <w:bookmarkStart w:id="1463" w:name="Tc_IkSZFrSllkKsiryvz8KetQ_5_8"/>
      <w:bookmarkStart w:id="1464" w:name="Tc_mK5Qs22nAUqsX602DEx2fg_5_5"/>
      <w:bookmarkStart w:id="1465" w:name="Tc_pX_aIuBd-UWzEr_fOfVULg_5_2"/>
      <w:bookmarkStart w:id="1466" w:name="Tc_AJE0S_rQokCSt_9RC_iluQ_5_0"/>
      <w:bookmarkStart w:id="1467" w:name="Tc_gXtog4-ByE6gCk914I8PZg_4_0"/>
      <w:bookmarkStart w:id="1468" w:name="Tc_LrZKvdPrME-4hJjwXTVDVQ_3_8"/>
      <w:bookmarkStart w:id="1469" w:name="Tc_0FG5Pt3buU60FOgreCZTuA_3_5"/>
      <w:bookmarkStart w:id="1470" w:name="Tc_xmpmgTDN1060NQvUk1MODA_3_2"/>
      <w:bookmarkStart w:id="1471" w:name="Tc_n5snZeaVoUmg0hZSK1ozOg_2_8"/>
      <w:bookmarkStart w:id="1472" w:name="Tc_AgIwbErOwku7R-Nfq9lbqw_2_5"/>
      <w:bookmarkStart w:id="1473" w:name="Tc_fyFmIo8ryk2vViNLzOQbtg_2_2"/>
      <w:bookmarkStart w:id="1474" w:name="Tc_Hs3zkUXMjkedARkfETigIw_1_2"/>
      <w:bookmarkStart w:id="1475" w:name="Tc_jM_sAB5qRke3sMg4OtzpFA_12_4"/>
      <w:bookmarkStart w:id="1476" w:name="Tc_-OfNYC3VREu_wIjhCzFEUA_12_0"/>
      <w:bookmarkStart w:id="1477" w:name="Tc_sCcoQhSUyEe5ilZoGUNwDw_11_4"/>
      <w:bookmarkStart w:id="1478" w:name="Tc_IYeHqyo6IEOsOIJ0OYo_pQ_11_0"/>
      <w:bookmarkStart w:id="1479" w:name="Tc_tzHmCN8bYU-z0uwkBQcI_g_10_9"/>
      <w:bookmarkStart w:id="1480" w:name="Tc_khwbzKafOUmHwitmgnyqcQ_10_4"/>
      <w:bookmarkStart w:id="1481" w:name="Tc_y6a0_MB1LEGv9DENtT6fQg_10_0"/>
      <w:bookmarkStart w:id="1482" w:name="Tc_AGe_r3jsKkuGA-etT_5egA_9_0"/>
      <w:bookmarkStart w:id="1483" w:name="Tc_quj5laIAf0icSASASEqgsw_8_0"/>
      <w:bookmarkStart w:id="1484" w:name="Tc_obFOWQGSSUaVjFMDxf8Mzw_7_0"/>
      <w:bookmarkStart w:id="1485" w:name="Tc_qid8JfE4nEWdB4YDOwfGEw_6_4"/>
      <w:bookmarkStart w:id="1486" w:name="Tc_GBj-evPZTUKmBGgXBoSivQ_6_0"/>
      <w:bookmarkStart w:id="1487" w:name="Tc_ECidsyA-6Ui6i-i_3pLHnA_5_9"/>
      <w:bookmarkStart w:id="1488" w:name="Tc_lYPudLsw9027Dzn18lbvsw_5_7"/>
      <w:bookmarkStart w:id="1489" w:name="Tc_tLX4i9CStkCbHVLqc0pEwQ_5_4"/>
      <w:bookmarkStart w:id="1490" w:name="Tc_W-HYZZTeE0i4P1XEtLCL1A_5_2"/>
      <w:bookmarkStart w:id="1491" w:name="Tc_v73BBy2RFUO2iD5O7xsSsw_4_9"/>
      <w:bookmarkStart w:id="1492" w:name="Tc_VpBCi3kka0qJfHVbSG3_ng_4_7"/>
      <w:bookmarkStart w:id="1493" w:name="Tc_xD9iSACxi0WW9N5SABbL5w_4_4"/>
      <w:bookmarkStart w:id="1494" w:name="Tc_ejvckQT-AkWrKG3Y3PgS0Q_4_2"/>
      <w:bookmarkStart w:id="1495" w:name="Tc_ot1VtFQ4AUWizqgqv9HBAA_3_9"/>
      <w:bookmarkStart w:id="1496" w:name="Tc_4D45F2X9fkmqm5xyDuCXug_3_7"/>
      <w:bookmarkStart w:id="1497" w:name="Tc_wLhmnAYMHU-ZKVXVYWnenw_3_4"/>
      <w:bookmarkStart w:id="1498" w:name="Tc_BDIDjLVyD0-6L2FETaSyfA_2_7"/>
      <w:bookmarkStart w:id="1499" w:name="Tc_I_tVLWHSNUaL0BwoNx8gwA_2_4"/>
      <w:bookmarkStart w:id="1500" w:name="Tc_PnqGzC6ZHUeE1x7QTcORrg_1_7"/>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p>
    <w:tbl>
      <w:tblPr>
        <w:tblW w:w="9519" w:type="dxa"/>
        <w:jc w:val="left"/>
        <w:tblInd w:w="0" w:type="dxa"/>
        <w:tblLayout w:type="fixed"/>
        <w:tblCellMar>
          <w:top w:w="0" w:type="dxa"/>
          <w:left w:w="0" w:type="dxa"/>
          <w:bottom w:w="0" w:type="dxa"/>
          <w:right w:w="0" w:type="dxa"/>
        </w:tblCellMar>
      </w:tblPr>
      <w:tblGrid>
        <w:gridCol w:w="4381"/>
        <w:gridCol w:w="346"/>
        <w:gridCol w:w="946"/>
        <w:gridCol w:w="346"/>
        <w:gridCol w:w="206"/>
        <w:gridCol w:w="635"/>
        <w:gridCol w:w="346"/>
        <w:gridCol w:w="1036"/>
        <w:gridCol w:w="346"/>
        <w:gridCol w:w="224"/>
        <w:gridCol w:w="707"/>
      </w:tblGrid>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center"/>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Contractual</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Intrinsic</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as of December 31, 2022</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195,690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214.62</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  ​</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43,340</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226.55</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  ​</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(39,055)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  ​</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(18,445)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307.81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  ​</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as of December 30, 2023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181,530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220.77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5,992</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Options vested or expected to vest as of December 30, 2023</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178,820</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220.31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7.96</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5,975</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Options exercisable as of December 30, 2023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116,545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203.78</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5,576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 average per share fair value of options granted during the fiscal year ended December 30, 2023 was $72.60.</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Restricted stock units are settled in Company stock when the restriction period ends. Restricted stock units and awards generally vest in equal installments over three years, beginning on the first anniversary of the grant. During the fiscal years ended December 27, 2025, December 28, 2024, and December 30, 2023, the Company granted restricted stock units to directors and certain management employees as follows:</w:t>
      </w:r>
    </w:p>
    <w:p>
      <w:pPr>
        <w:pStyle w:val="TextBody"/>
        <w:bidi w:val="0"/>
        <w:spacing w:before="0" w:after="0"/>
        <w:ind w:left="0" w:right="0" w:hanging="0"/>
        <w:jc w:val="left"/>
        <w:rPr/>
      </w:pPr>
      <w:r>
        <w:rPr/>
        <w:t>​</w:t>
      </w:r>
    </w:p>
    <w:tbl>
      <w:tblPr>
        <w:tblW w:w="7939" w:type="dxa"/>
        <w:jc w:val="left"/>
        <w:tblInd w:w="0" w:type="dxa"/>
        <w:tblLayout w:type="fixed"/>
        <w:tblCellMar>
          <w:top w:w="0" w:type="dxa"/>
          <w:left w:w="0" w:type="dxa"/>
          <w:bottom w:w="0" w:type="dxa"/>
          <w:right w:w="0" w:type="dxa"/>
        </w:tblCellMar>
      </w:tblPr>
      <w:tblGrid>
        <w:gridCol w:w="3436"/>
        <w:gridCol w:w="346"/>
        <w:gridCol w:w="280"/>
        <w:gridCol w:w="860"/>
        <w:gridCol w:w="346"/>
        <w:gridCol w:w="280"/>
        <w:gridCol w:w="860"/>
        <w:gridCol w:w="346"/>
        <w:gridCol w:w="257"/>
        <w:gridCol w:w="928"/>
      </w:tblGrid>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stock units granted</w:t>
            </w:r>
          </w:p>
        </w:tc>
        <w:tc>
          <w:tcPr>
            <w:tcW w:w="346" w:type="dxa"/>
            <w:tcBorders/>
            <w:shd w:fill="CCEEFF" w:val="clear"/>
            <w:vAlign w:val="center"/>
          </w:tcPr>
          <w:p>
            <w:pPr>
              <w:pStyle w:val="TableContents"/>
              <w:bidi w:val="0"/>
              <w:spacing w:before="0" w:after="1"/>
              <w:ind w:left="0" w:right="0" w:hanging="0"/>
              <w:jc w:val="left"/>
              <w:rPr/>
            </w:pPr>
            <w:r>
              <w:rPr/>
              <w:t> </w:t>
            </w:r>
          </w:p>
        </w:tc>
        <w:tc>
          <w:tcPr>
            <w:tcW w:w="280"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43,255</w:t>
            </w:r>
          </w:p>
        </w:tc>
        <w:tc>
          <w:tcPr>
            <w:tcW w:w="346" w:type="dxa"/>
            <w:tcBorders/>
            <w:shd w:fill="CCEEFF" w:val="clear"/>
            <w:vAlign w:val="center"/>
          </w:tcPr>
          <w:p>
            <w:pPr>
              <w:pStyle w:val="TableContents"/>
              <w:bidi w:val="0"/>
              <w:spacing w:before="0" w:after="1"/>
              <w:ind w:left="0" w:right="0" w:hanging="0"/>
              <w:jc w:val="left"/>
              <w:rPr/>
            </w:pPr>
            <w:r>
              <w:rPr/>
              <w:t> </w:t>
            </w:r>
          </w:p>
        </w:tc>
        <w:tc>
          <w:tcPr>
            <w:tcW w:w="280"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52,175</w:t>
            </w:r>
          </w:p>
        </w:tc>
        <w:tc>
          <w:tcPr>
            <w:tcW w:w="346" w:type="dxa"/>
            <w:tcBorders/>
            <w:shd w:fill="CCEEFF" w:val="clear"/>
            <w:vAlign w:val="center"/>
          </w:tcPr>
          <w:p>
            <w:pPr>
              <w:pStyle w:val="TableContents"/>
              <w:bidi w:val="0"/>
              <w:spacing w:before="0" w:after="1"/>
              <w:ind w:left="0" w:right="0" w:hanging="0"/>
              <w:jc w:val="left"/>
              <w:rPr/>
            </w:pPr>
            <w:r>
              <w:rPr/>
              <w:t> </w:t>
            </w:r>
          </w:p>
        </w:tc>
        <w:tc>
          <w:tcPr>
            <w:tcW w:w="257"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67,723</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w:t>
              <w:noBreakHyphen/>
              <w:t>average per share price on grant date</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394.23</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295.84</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233.96</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intrinsic value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44,095</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42,381</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35,538</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recognizes compensation expense for restricted stock units on a straight-line basis over the requisite service period, accounting for forfeitures as they occur. The compensation expense for the Company’s restricted stock units totaled $13,195, $17,141, and $22,478 for the fiscal years ended December 27, 2025, December 28, 2024, and December 30, 2023, respectively.</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December 27, 2025, the amount of unrecognized stock</w:t>
        <w:noBreakHyphen/>
        <w:t>based compensation granted, to be recognized over a weighted</w:t>
        <w:noBreakHyphen/>
        <w:t>average period of 1.69 years, was approximately $28,005.</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PSUs consist of shares of the Company’s stock, payable upon the determination that the Company has achieved certain established performance targets. PSUs can range from 0% to 200% of the targeted payout based on actual results over a performance period of three years. The fair value of each PSU granted is equal to the fair market value of the Company’s common stock on the date of grant. PSUs generally have a three-year cliff-vesting schedule; however, according to the grant agreements, if certain conditions are met, the employee (or beneficiary) will receive a prorated amount based on active employment during the service period.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501" w:name="Tc_EawlZmvnGE6idNKsQI3Llw_6_8"/>
      <w:bookmarkStart w:id="1502" w:name="Tc_tFIftVFt0kGpbxspr5l0iw_6_5"/>
      <w:bookmarkStart w:id="1503" w:name="Tc_BPjqiU-t8kS3LDV9y4bnFA_6_2"/>
      <w:bookmarkStart w:id="1504" w:name="Tc_MBr9MjVBdk6M6oCuirw5uw_6_0"/>
      <w:bookmarkStart w:id="1505" w:name="Tc_tBdLuFc5ZEmJOTOn_km_sA_5_8"/>
      <w:bookmarkStart w:id="1506" w:name="Tc_adYRCKkrsEiTJyzHFLUqpA_5_5"/>
      <w:bookmarkStart w:id="1507" w:name="Tc_dZD6M5TJLE2k2LcqHp18Vw_5_2"/>
      <w:bookmarkStart w:id="1508" w:name="Tc_KzZamK3Ue0qJyAJrBThUkw_5_0"/>
      <w:bookmarkStart w:id="1509" w:name="Tc__OjTf2nHbE2rWfEbkt7aJg_4_0"/>
      <w:bookmarkStart w:id="1510" w:name="Tc_6-0mmZtYEka3rrQObezIUQ_3_8"/>
      <w:bookmarkStart w:id="1511" w:name="Tc_drAoXKrZJU2nmkZLHfuz4g_3_5"/>
      <w:bookmarkStart w:id="1512" w:name="Tc_33OQYkQm5kKA4sXlMNY7xA_3_2"/>
      <w:bookmarkStart w:id="1513" w:name="Tc_wVmWDh6ZDUO3QBmJH7y1iA_2_8"/>
      <w:bookmarkStart w:id="1514" w:name="Tc_2jDYXeesxkCjDAiJdhklDg_2_5"/>
      <w:bookmarkStart w:id="1515" w:name="Tc_hPM5OwHg_kavwoX13sH7hQ_2_2"/>
      <w:bookmarkStart w:id="1516" w:name="Tc_XmMwujVFqEuS1V41z898hg_1_2"/>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ascii="Times New Roman;Times;serif" w:hAnsi="Times New Roman;Times;serif"/>
          <w:sz w:val="20"/>
        </w:rPr>
        <w:t>During the fiscal years ended December 27, 2025, December 28, 2024, and December 30, 2023, the Company granted PSU awards as follows:</w:t>
      </w:r>
    </w:p>
    <w:p>
      <w:pPr>
        <w:pStyle w:val="TextBody"/>
        <w:bidi w:val="0"/>
        <w:spacing w:before="0" w:after="0"/>
        <w:ind w:left="0" w:right="0" w:hanging="0"/>
        <w:jc w:val="left"/>
        <w:rPr/>
      </w:pPr>
      <w:r>
        <w:rPr/>
        <w:t>​</w:t>
      </w:r>
    </w:p>
    <w:tbl>
      <w:tblPr>
        <w:tblW w:w="7939" w:type="dxa"/>
        <w:jc w:val="left"/>
        <w:tblInd w:w="0" w:type="dxa"/>
        <w:tblLayout w:type="fixed"/>
        <w:tblCellMar>
          <w:top w:w="0" w:type="dxa"/>
          <w:left w:w="0" w:type="dxa"/>
          <w:bottom w:w="0" w:type="dxa"/>
          <w:right w:w="0" w:type="dxa"/>
        </w:tblCellMar>
      </w:tblPr>
      <w:tblGrid>
        <w:gridCol w:w="3436"/>
        <w:gridCol w:w="346"/>
        <w:gridCol w:w="280"/>
        <w:gridCol w:w="860"/>
        <w:gridCol w:w="346"/>
        <w:gridCol w:w="280"/>
        <w:gridCol w:w="860"/>
        <w:gridCol w:w="346"/>
        <w:gridCol w:w="257"/>
        <w:gridCol w:w="928"/>
      </w:tblGrid>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granted</w:t>
            </w:r>
          </w:p>
        </w:tc>
        <w:tc>
          <w:tcPr>
            <w:tcW w:w="346"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28,238</w:t>
            </w:r>
          </w:p>
        </w:tc>
        <w:tc>
          <w:tcPr>
            <w:tcW w:w="346"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34,665</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38,201</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w:t>
              <w:noBreakHyphen/>
              <w:t>average per share price on grant date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305.16</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234.52</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299.20</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intrinsic value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27,347</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21,577</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24,605</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compensation expense for the Company’s PSUs totaled $8,959, $10,476, and $13,054 for the fiscal years ended December 27, 2025, December 28, 2024, and December 30,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17" w:name="Tc_gM_ub-YqTE-4V2xWXdn-kA_15_8"/>
      <w:bookmarkStart w:id="1518" w:name="Tc_9wFoEalrX06ijjk0gn19-Q_15_5"/>
      <w:bookmarkStart w:id="1519" w:name="Tc_V_H9lj_qjkilCea2dS17hA_15_2"/>
      <w:bookmarkStart w:id="1520" w:name="Tc_JdLVdVE4SEKmvyA-DsYcSA_15_0"/>
      <w:bookmarkStart w:id="1521" w:name="Tc_x_JWxNWVo0CUGoQ2fMDd4g_14_0"/>
      <w:bookmarkStart w:id="1522" w:name="Tc_ovVKyw3HTEuaLVQXvA_DZw_13_8"/>
      <w:bookmarkStart w:id="1523" w:name="Tc_0nk9ZNaEVES8bdL2gcXqOQ_13_5"/>
      <w:bookmarkStart w:id="1524" w:name="Tc_44OzdumlqUST24RRFd4geA_13_2"/>
      <w:bookmarkStart w:id="1525" w:name="Tc_xrVzerMoAEaLDLRy7yZrjw_13_0"/>
      <w:bookmarkStart w:id="1526" w:name="Tc_ezhkfHj9lUqs9P9SLfQv5w_12_0"/>
      <w:bookmarkStart w:id="1527" w:name="Tc_HJNzTN1r5UuzPFnvUdZosA_11_0"/>
      <w:bookmarkStart w:id="1528" w:name="Tc_v6NS7aEqZkCaz2dyvyzSHw_10_0"/>
      <w:bookmarkStart w:id="1529" w:name="Tc_cruUeag3gke3H_257nSFIA_9_0"/>
      <w:bookmarkStart w:id="1530" w:name="Tc_psS1wJy_TEqnpk_4AJm5rQ_8_0"/>
      <w:bookmarkStart w:id="1531" w:name="Tc_ItI_WUsf-kuU19SpLtxj5w_7_8"/>
      <w:bookmarkStart w:id="1532" w:name="Tc_l0QoxBKD-Em_cBUCpxBueQ_7_5"/>
      <w:bookmarkStart w:id="1533" w:name="Tc_5nfbGW2KHU6g-2XuinVMhg_7_2"/>
      <w:bookmarkStart w:id="1534" w:name="Tc_i4RIO543_EO_NjwF2d1FiQ_7_0"/>
      <w:bookmarkStart w:id="1535" w:name="Tc_msGxavlqWkSK-KQN1bwjKw_6_6"/>
      <w:bookmarkStart w:id="1536" w:name="Tc_skbCK4oiPkCJIdzfSfFz-w_6_0"/>
      <w:bookmarkStart w:id="1537" w:name="Tc_hJZsqnV5bkCDrOUq16VTiw_5_8"/>
      <w:bookmarkStart w:id="1538" w:name="Tc_CSuyhS8h2EK2u-i-5bRXng_5_5"/>
      <w:bookmarkStart w:id="1539" w:name="Tc_V8ZokSUmSkqH8g_DUebj_Q_5_2"/>
      <w:bookmarkStart w:id="1540" w:name="Tc_GBa252E8ikqBrRTCGtMhWg_5_0"/>
      <w:bookmarkStart w:id="1541" w:name="Tc_NB5O2h6wV0GXnCkKMGL82w_4_0"/>
      <w:bookmarkStart w:id="1542" w:name="Tc_c3WGyvzVN0a7TVORjYCrQw_3_8"/>
      <w:bookmarkStart w:id="1543" w:name="Tc_9PoGPyncy0a46lLK7mPdfA_3_5"/>
      <w:bookmarkStart w:id="1544" w:name="Tc_rS0SOsGRCkKGAUg2QEwUuQ_3_2"/>
      <w:bookmarkStart w:id="1545" w:name="Tc_drECdbe_6EKUktjPIV_80w_2_8"/>
      <w:bookmarkStart w:id="1546" w:name="Tc_1fXgkGIy4k-gCsnibCgyKg_2_5"/>
      <w:bookmarkStart w:id="1547" w:name="Tc_Ejd70xGUfUmp6qeyGbP_tA_2_2"/>
      <w:bookmarkStart w:id="1548" w:name="Tc_G3WErgUDukaos9XyeTSD0g_1_2"/>
      <w:bookmarkStart w:id="1549" w:name="_6e76e299_744b_4621_9e07_c840f57e65dc"/>
      <w:bookmarkStart w:id="1550" w:name="a12EARNINGSPERSHARE_703115"/>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Fonts w:ascii="Times New Roman;Times;serif" w:hAnsi="Times New Roman;Times;serif"/>
          <w:b/>
          <w:sz w:val="20"/>
        </w:rPr>
        <w:t>(12) NET 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provides a reconciliation between the net earnings attributable to Valmont Industries, Inc. and the weighted average share amounts used to compute both basic and diluted net earnings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221"/>
        <w:gridCol w:w="109"/>
        <w:gridCol w:w="225"/>
        <w:gridCol w:w="820"/>
        <w:gridCol w:w="346"/>
        <w:gridCol w:w="231"/>
        <w:gridCol w:w="814"/>
        <w:gridCol w:w="346"/>
        <w:gridCol w:w="229"/>
        <w:gridCol w:w="864"/>
      </w:tblGrid>
      <w:tr>
        <w:trPr/>
        <w:tc>
          <w:tcPr>
            <w:tcW w:w="6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2875" cy="175260"/>
                      <wp:effectExtent l="0" t="0" r="0" b="0"/>
                      <wp:wrapNone/>
                      <wp:docPr id="33" name="Frame3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0700" cy="175260"/>
                      <wp:effectExtent l="0" t="0" r="0" b="0"/>
                      <wp:wrapNone/>
                      <wp:docPr id="34" name="Frame34"/>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685" cy="175260"/>
                      <wp:effectExtent l="0" t="0" r="0" b="0"/>
                      <wp:wrapNone/>
                      <wp:docPr id="36" name="Frame3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16890" cy="175260"/>
                      <wp:effectExtent l="0" t="0" r="0" b="0"/>
                      <wp:wrapNone/>
                      <wp:docPr id="37" name="Frame3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5415" cy="175260"/>
                      <wp:effectExtent l="0" t="0" r="0" b="0"/>
                      <wp:wrapNone/>
                      <wp:docPr id="39" name="Frame3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48640" cy="175260"/>
                      <wp:effectExtent l="0" t="0" r="0" b="0"/>
                      <wp:wrapNone/>
                      <wp:docPr id="40" name="Frame4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87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62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0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left"/>
              <w:rPr/>
            </w:pPr>
            <w:r>
              <w:rPr/>
              <w:t>​</w:t>
            </w:r>
          </w:p>
        </w:tc>
        <w:tc>
          <w:tcPr>
            <w:tcW w:w="109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6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0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6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attributable to Valmont Industries, Inc.</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r>
      <w:tr>
        <w:trPr/>
        <w:tc>
          <w:tcPr>
            <w:tcW w:w="6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earnings attributable to Valmont Industries, Inc. </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350,273</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348,259</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150,849</w:t>
            </w:r>
          </w:p>
        </w:tc>
      </w:tr>
      <w:tr>
        <w:trPr/>
        <w:tc>
          <w:tcPr>
            <w:tcW w:w="6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redemption value of redeemable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(15,489)</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(7,374)</w:t>
            </w:r>
          </w:p>
        </w:tc>
      </w:tr>
      <w:tr>
        <w:trPr/>
        <w:tc>
          <w:tcPr>
            <w:tcW w:w="6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 including change in redemption value of redeemable noncontrolling interests</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334,784</w:t>
            </w:r>
          </w:p>
        </w:tc>
        <w:tc>
          <w:tcPr>
            <w:tcW w:w="346" w:type="dxa"/>
            <w:tcBorders/>
            <w:vAlign w:val="center"/>
          </w:tcPr>
          <w:p>
            <w:pPr>
              <w:pStyle w:val="TableContents"/>
              <w:bidi w:val="0"/>
              <w:spacing w:before="0" w:after="1"/>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348,259</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143,475</w:t>
            </w:r>
          </w:p>
        </w:tc>
      </w:tr>
      <w:tr>
        <w:trPr/>
        <w:tc>
          <w:tcPr>
            <w:tcW w:w="6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 average shares outstanding (in thousands):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right"/>
              <w:rPr/>
            </w:pPr>
            <w:r>
              <w:rPr/>
              <w:t>​</w:t>
            </w:r>
          </w:p>
        </w:tc>
        <w:tc>
          <w:tcPr>
            <w:tcW w:w="864" w:type="dxa"/>
            <w:tcBorders/>
            <w:shd w:fill="CCEEFF" w:val="clear"/>
            <w:vAlign w:val="center"/>
          </w:tcPr>
          <w:p>
            <w:pPr>
              <w:pStyle w:val="TableContents"/>
              <w:bidi w:val="0"/>
              <w:spacing w:before="0" w:after="1"/>
              <w:ind w:left="0" w:right="0" w:hanging="0"/>
              <w:jc w:val="right"/>
              <w:rPr/>
            </w:pPr>
            <w:r>
              <w:rPr/>
              <w:t>​</w:t>
            </w:r>
          </w:p>
        </w:tc>
      </w:tr>
      <w:tr>
        <w:trPr/>
        <w:tc>
          <w:tcPr>
            <w:tcW w:w="6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19,795</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20,122</w:t>
            </w:r>
          </w:p>
        </w:tc>
        <w:tc>
          <w:tcPr>
            <w:tcW w:w="346"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righ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20,956</w:t>
            </w:r>
          </w:p>
        </w:tc>
      </w:tr>
      <w:tr>
        <w:trPr/>
        <w:tc>
          <w:tcPr>
            <w:tcW w:w="6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various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6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19,937</w:t>
            </w:r>
          </w:p>
        </w:tc>
        <w:tc>
          <w:tcPr>
            <w:tcW w:w="346" w:type="dxa"/>
            <w:tcBorders/>
            <w:vAlign w:val="center"/>
          </w:tcPr>
          <w:p>
            <w:pPr>
              <w:pStyle w:val="TableContents"/>
              <w:bidi w:val="0"/>
              <w:spacing w:before="0" w:after="1"/>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20,261</w:t>
            </w:r>
          </w:p>
        </w:tc>
        <w:tc>
          <w:tcPr>
            <w:tcW w:w="346" w:type="dxa"/>
            <w:tcBorders/>
            <w:vAlign w:val="center"/>
          </w:tcPr>
          <w:p>
            <w:pPr>
              <w:pStyle w:val="TableContents"/>
              <w:bidi w:val="0"/>
              <w:spacing w:before="0" w:after="1"/>
              <w:ind w:left="0" w:right="0" w:hanging="0"/>
              <w:jc w:val="righ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21,159</w:t>
            </w:r>
          </w:p>
        </w:tc>
      </w:tr>
      <w:tr>
        <w:trPr/>
        <w:tc>
          <w:tcPr>
            <w:tcW w:w="6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attributable to Valmont Industries, Inc.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r>
      <w:tr>
        <w:trPr/>
        <w:tc>
          <w:tcPr>
            <w:tcW w:w="6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16.91</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17.31</w:t>
            </w:r>
          </w:p>
        </w:tc>
        <w:tc>
          <w:tcPr>
            <w:tcW w:w="346"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6.85</w:t>
            </w:r>
          </w:p>
        </w:tc>
      </w:tr>
      <w:tr>
        <w:trPr/>
        <w:tc>
          <w:tcPr>
            <w:tcW w:w="6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various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r>
        <w:trPr/>
        <w:tc>
          <w:tcPr>
            <w:tcW w:w="6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w:t>
            </w:r>
          </w:p>
        </w:tc>
        <w:tc>
          <w:tcPr>
            <w:tcW w:w="346" w:type="dxa"/>
            <w:tcBorders/>
            <w:vAlign w:val="center"/>
          </w:tcPr>
          <w:p>
            <w:pPr>
              <w:pStyle w:val="TableContents"/>
              <w:bidi w:val="0"/>
              <w:spacing w:before="0" w:after="1"/>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17.19</w:t>
            </w:r>
          </w:p>
        </w:tc>
        <w:tc>
          <w:tcPr>
            <w:tcW w:w="346" w:type="dxa"/>
            <w:tcBorders/>
            <w:vAlign w:val="center"/>
          </w:tcPr>
          <w:p>
            <w:pPr>
              <w:pStyle w:val="TableContents"/>
              <w:bidi w:val="0"/>
              <w:spacing w:before="0" w:after="1"/>
              <w:ind w:left="0" w:right="0" w:hanging="0"/>
              <w:jc w:val="righ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6.78</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December 27, 2025, December 28, 2024, and December 30, 2023, there were 22,216; 44,620; and 127,774 outstanding stock options, respectively, with exercise prices that exceeded the average market price of common stock during the respective periods. As such, these options were anti-dilutive and were excluded from the computation of diluted net earnings per share.</w:t>
      </w:r>
    </w:p>
    <w:p>
      <w:pPr>
        <w:pStyle w:val="TextBody"/>
        <w:bidi w:val="0"/>
        <w:spacing w:before="0" w:after="240"/>
        <w:ind w:left="0" w:right="0" w:hanging="0"/>
        <w:jc w:val="left"/>
        <w:rPr>
          <w:rFonts w:ascii="Times New Roman;Times;serif" w:hAnsi="Times New Roman;Times;serif"/>
          <w:b/>
          <w:sz w:val="20"/>
        </w:rPr>
      </w:pPr>
      <w:bookmarkStart w:id="1551" w:name="a13EMPLOYEERETIREMENTSAVINGSPLAN_404809"/>
      <w:bookmarkEnd w:id="1551"/>
      <w:r>
        <w:rPr>
          <w:rFonts w:ascii="Times New Roman;Times;serif" w:hAnsi="Times New Roman;Times;serif"/>
          <w:b/>
          <w:sz w:val="20"/>
        </w:rPr>
        <w:t>(13) EMPLOYEE RETIREMENT SAVINGS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Established under Internal Revenue Code Section 401(k), the Valmont Employee Retirement Savings Plan (“VERSP”) is a defined contribution plan available to all eligible employees. Participants may elect to contribute up to 75% of their annual eligible compensation on either a pre-tax or after-tax basis, subject to certain Internal Revenue Code limitations.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also sponsors a fully funded, non-qualified deferred compensation plan for certain executives who would otherwise be limited in receiving contributions into the VERSP under Internal Revenue Service regulations. As of December 27, 2025 and December 28, 2024, the invested assets and related liabilities for these participants were $29,631 and $27,379, respectively. These amounts are included in “Deferred compensation investments” and “Deferred compensation liabilities” in the Consolidated Balance Sheets. Distributions from the Company’s non-qualified deferred compensation plan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participants, made under the transition rules of Section 409A of the Internal Revenue Code, totaled $4,213 and $5,467 for the fiscal years ended December 27, 2025 and December 28, 2024, respectively. All distributions were made in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contributes to both the VERSP and the non-qualified deferred compensation plan for certain executives. The Company’s contributions to these plans for the fiscal years ended December 27, 2025, December 28, 2024, and December 30, 2023, were approximately $20,600, $19,100, and $20,000, respectively.</w:t>
      </w:r>
    </w:p>
    <w:p>
      <w:pPr>
        <w:pStyle w:val="TextBody"/>
        <w:bidi w:val="0"/>
        <w:spacing w:before="0" w:after="240"/>
        <w:ind w:left="0" w:right="0" w:hanging="0"/>
        <w:jc w:val="left"/>
        <w:rPr>
          <w:rFonts w:ascii="Times New Roman;Times;serif" w:hAnsi="Times New Roman;Times;serif"/>
          <w:b/>
          <w:sz w:val="20"/>
        </w:rPr>
      </w:pPr>
      <w:bookmarkStart w:id="1552" w:name="a14DISCLOSURESABOUTTHEFAIRVALUEOFFINANCI"/>
      <w:bookmarkEnd w:id="1552"/>
      <w:r>
        <w:rPr>
          <w:rFonts w:ascii="Times New Roman;Times;serif" w:hAnsi="Times New Roman;Times;serif"/>
          <w:b/>
          <w:sz w:val="20"/>
        </w:rPr>
        <w:t>(14) FAIR VALUE MEASUREMENTS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specified, the carrying amounts of cash and cash equivalents, receivables, accounts payable, notes payable to banks, and accrued expenses approximate fair value due to the short maturity of these instruments. The fair values of the Company’s long-term debt instruments are based on future cash flows associated with each instrument, discounted using the Company’s current borrowing rate for similar debt instruments of comparable maturities. Fair value estimates are made at a specific point in time, and the underlying assumptions may change based on market conditions. As of December 27, 2025, the carrying amount of the Company’s long-term debt was $795,663 with an estimated fair value of approximately $766,814. As of December 28, 2024, the carrying amount of the Company’s long-term debt was $730,633 with an estimated fair value of approximately $692,877. See Note 10 for further information.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ASC 820 establishes a three</w:t>
        <w:noBreakHyphen/>
        <w:t>level hierarchy for fair value measurements, which is based on the transparency of inputs used to value an asset or liability as of the measurement date. Inputs refer broadly to the assumptions that market participants would use in pricing the asset or liability, including assumptions about risk. Financial assets and liabilities carried at fair value will be classified and disclosed in one of the following three categories: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 that the reporting entity can access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within Level 1 that are observable for the asset or liability, either directly or indirectly</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categorization within the valuation hierarchy is based on the lowest level of input that is significant to the fair value measurement. The following are the valuation methodologies used for assets and liabilities measured at fair value: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i/>
          <w:sz w:val="20"/>
        </w:rPr>
        <w:t>Deferred Compensation Investments:</w:t>
      </w:r>
      <w:r>
        <w:rPr>
          <w:rFonts w:ascii="Times New Roman;Times;serif" w:hAnsi="Times New Roman;Times;serif"/>
          <w:sz w:val="20"/>
        </w:rPr>
        <w:t xml:space="preserve"> The Company’s deferred compensation investments include mutual funds invested in debt and equity securities in the Valmont Deferred Compensation Plan. Quoted market prices are available for these securities in an active market. The investments are included in “Deferred compensation investments” in the Consolidated Balance Sheets.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i/>
          <w:sz w:val="20"/>
        </w:rPr>
        <w:t>Derivative Financial Instruments:</w:t>
      </w:r>
      <w:r>
        <w:rPr>
          <w:rFonts w:ascii="Times New Roman;Times;serif" w:hAnsi="Times New Roman;Times;serif"/>
          <w:sz w:val="20"/>
        </w:rPr>
        <w:t xml:space="preserve"> The fair values of foreign currency, commodity, and cross-currency swap derivative contracts are based on valuation models that use market-observable inputs, including forward and spot prices for commodities and currencies. See Note 15 for further information.</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Mutual Funds: </w:t>
      </w:r>
      <w:r>
        <w:rPr>
          <w:rFonts w:ascii="Times New Roman;Times;serif" w:hAnsi="Times New Roman;Times;serif"/>
          <w:sz w:val="20"/>
        </w:rPr>
        <w:t>The Company has short-term investments in various mutual funds with readily determinable fair values.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1553" w:name="Tc_v3iYb63Q6UKrain4hFTH-w_5_12"/>
      <w:bookmarkStart w:id="1554" w:name="Tc_Z60R48vtc0y7Js_fzK9kww_5_9"/>
      <w:bookmarkStart w:id="1555" w:name="Tc_UtxfZur0PUqphrxRG1-Mog_5_0"/>
      <w:bookmarkStart w:id="1556" w:name="Tc_gIJ2mLpBp0qIBrBj0p9kkw_4_12"/>
      <w:bookmarkStart w:id="1557" w:name="Tc_uC9wq_cMTkeC_AZvbwrUdA_4_6"/>
      <w:bookmarkStart w:id="1558" w:name="Tc_hYqtlQV7EEKP2LNUHFJKwg_4_0"/>
      <w:bookmarkStart w:id="1559" w:name="Tc_YG-BeGUU_UGhgYvL76jAkA_3_12"/>
      <w:bookmarkStart w:id="1560" w:name="Tc_jC7ZbJZGr0SA9cQDlsPTRw_3_11"/>
      <w:bookmarkStart w:id="1561" w:name="Tc_SkDx18QhGk2YZiLMdsvTtQ_3_9"/>
      <w:bookmarkStart w:id="1562" w:name="Tc_V1aflSFf3UuxgP3e_slQ3A_3_8"/>
      <w:bookmarkStart w:id="1563" w:name="Tc_DLZ7zsKVoU67sHj2wJfa6g_3_5"/>
      <w:bookmarkStart w:id="1564" w:name="Tc_XEk-7OtAx0mRuzHp_CkQ0Q_3_2"/>
      <w:bookmarkStart w:id="1565" w:name="Tc_8u5sVCc-20CcWVl4hMmx0g_3_0"/>
      <w:bookmarkStart w:id="1566" w:name="Tc_v2-HCxA5UE64WQqcXYsMEw_2_11"/>
      <w:bookmarkStart w:id="1567" w:name="Tc_LoDjf4TRHUq9yTFwLPUjCQ_2_8"/>
      <w:bookmarkStart w:id="1568" w:name="Tc_CC06Ubnvck2CFyI-KYXk1Q_2_5"/>
      <w:bookmarkStart w:id="1569" w:name="Tc_JsVVJXlHb0mfku287jTf_A_2_2"/>
      <w:bookmarkStart w:id="1570" w:name="Tc_MmHdBfN5VU2pyBNRTN2f2g_1_5"/>
      <w:bookmarkStart w:id="1571" w:name="Tc_TwQuYMHghUaesuIINNzcpQ_1_2"/>
      <w:bookmarkStart w:id="1572" w:name="_86ad148d_d90e_4640_acf5_e7b908873fd4"/>
      <w:bookmarkStart w:id="1573" w:name="Tc_Lfo6T80pEUCdFpl_TmlEkw_5_12"/>
      <w:bookmarkStart w:id="1574" w:name="Tc_8HBOI5OUhkuf8rz3Ilg5fg_5_9"/>
      <w:bookmarkStart w:id="1575" w:name="Tc_tB88LxzGAUOUb9qCrnVxZw_5_0"/>
      <w:bookmarkStart w:id="1576" w:name="Tc_bWClvxvg-0aJQ6QPqF5pvA_4_12"/>
      <w:bookmarkStart w:id="1577" w:name="Tc_1deGX_6SF0uk0SH2vUcQSw_4_6"/>
      <w:bookmarkStart w:id="1578" w:name="Tc_NACfS1g8DUuzevGiqf8ZvQ_4_0"/>
      <w:bookmarkStart w:id="1579" w:name="Tc_ygBKXfoBzEmKIq-rGXAnSQ_3_12"/>
      <w:bookmarkStart w:id="1580" w:name="Tc_4_cEOCfnF0yp7UocM_NhRg_3_11"/>
      <w:bookmarkStart w:id="1581" w:name="Tc_-C5dNKjT-k60PRxknvV8oA_3_9"/>
      <w:bookmarkStart w:id="1582" w:name="Tc_MACtVu9moUKhk8_XHHH6sw_3_8"/>
      <w:bookmarkStart w:id="1583" w:name="Tc_Oqj8hhK56U6zj08TQl_k9Q_3_5"/>
      <w:bookmarkStart w:id="1584" w:name="Tc_2Je5Kfg3KECPyKdvPIqOOg_3_2"/>
      <w:bookmarkStart w:id="1585" w:name="Tc_MB-2q0WMa0Gpgfa4kMasug_3_0"/>
      <w:bookmarkStart w:id="1586" w:name="Tc__cD2lAfOLkm6ofRT4fcWAw_2_11"/>
      <w:bookmarkStart w:id="1587" w:name="Tc_OTPvuuJ7cUOEaKd6gdE0pA_2_8"/>
      <w:bookmarkStart w:id="1588" w:name="Tc_podnKkWHP0iDYawZsIBEGw_2_5"/>
      <w:bookmarkStart w:id="1589" w:name="Tc_PFPUE0dByUyOeAfcivaAZQ_2_2"/>
      <w:bookmarkStart w:id="1590" w:name="Tc_yE7dGBxM2U6FuhAOCh0T8g_1_5"/>
      <w:bookmarkStart w:id="1591" w:name="Tc_3J1hWdLflEqowFif58ML6A_1_2"/>
      <w:bookmarkStart w:id="1592" w:name="_7b5aec01_1400_4ee4_bd41_02bb4a54a778"/>
      <w:bookmarkStart w:id="1593" w:name="Tc_v3iYb63Q6UKrain4hFTH-w_5_12"/>
      <w:bookmarkStart w:id="1594" w:name="Tc_Z60R48vtc0y7Js_fzK9kww_5_9"/>
      <w:bookmarkStart w:id="1595" w:name="Tc_UtxfZur0PUqphrxRG1-Mog_5_0"/>
      <w:bookmarkStart w:id="1596" w:name="Tc_gIJ2mLpBp0qIBrBj0p9kkw_4_12"/>
      <w:bookmarkStart w:id="1597" w:name="Tc_uC9wq_cMTkeC_AZvbwrUdA_4_6"/>
      <w:bookmarkStart w:id="1598" w:name="Tc_hYqtlQV7EEKP2LNUHFJKwg_4_0"/>
      <w:bookmarkStart w:id="1599" w:name="Tc_YG-BeGUU_UGhgYvL76jAkA_3_12"/>
      <w:bookmarkStart w:id="1600" w:name="Tc_jC7ZbJZGr0SA9cQDlsPTRw_3_11"/>
      <w:bookmarkStart w:id="1601" w:name="Tc_SkDx18QhGk2YZiLMdsvTtQ_3_9"/>
      <w:bookmarkStart w:id="1602" w:name="Tc_V1aflSFf3UuxgP3e_slQ3A_3_8"/>
      <w:bookmarkStart w:id="1603" w:name="Tc_DLZ7zsKVoU67sHj2wJfa6g_3_5"/>
      <w:bookmarkStart w:id="1604" w:name="Tc_XEk-7OtAx0mRuzHp_CkQ0Q_3_2"/>
      <w:bookmarkStart w:id="1605" w:name="Tc_8u5sVCc-20CcWVl4hMmx0g_3_0"/>
      <w:bookmarkStart w:id="1606" w:name="Tc_v2-HCxA5UE64WQqcXYsMEw_2_11"/>
      <w:bookmarkStart w:id="1607" w:name="Tc_LoDjf4TRHUq9yTFwLPUjCQ_2_8"/>
      <w:bookmarkStart w:id="1608" w:name="Tc_CC06Ubnvck2CFyI-KYXk1Q_2_5"/>
      <w:bookmarkStart w:id="1609" w:name="Tc_JsVVJXlHb0mfku287jTf_A_2_2"/>
      <w:bookmarkStart w:id="1610" w:name="Tc_MmHdBfN5VU2pyBNRTN2f2g_1_5"/>
      <w:bookmarkStart w:id="1611" w:name="Tc_TwQuYMHghUaesuIINNzcpQ_1_2"/>
      <w:bookmarkStart w:id="1612" w:name="_86ad148d_d90e_4640_acf5_e7b908873fd4"/>
      <w:bookmarkStart w:id="1613" w:name="Tc_Lfo6T80pEUCdFpl_TmlEkw_5_12"/>
      <w:bookmarkStart w:id="1614" w:name="Tc_8HBOI5OUhkuf8rz3Ilg5fg_5_9"/>
      <w:bookmarkStart w:id="1615" w:name="Tc_tB88LxzGAUOUb9qCrnVxZw_5_0"/>
      <w:bookmarkStart w:id="1616" w:name="Tc_bWClvxvg-0aJQ6QPqF5pvA_4_12"/>
      <w:bookmarkStart w:id="1617" w:name="Tc_1deGX_6SF0uk0SH2vUcQSw_4_6"/>
      <w:bookmarkStart w:id="1618" w:name="Tc_NACfS1g8DUuzevGiqf8ZvQ_4_0"/>
      <w:bookmarkStart w:id="1619" w:name="Tc_ygBKXfoBzEmKIq-rGXAnSQ_3_12"/>
      <w:bookmarkStart w:id="1620" w:name="Tc_4_cEOCfnF0yp7UocM_NhRg_3_11"/>
      <w:bookmarkStart w:id="1621" w:name="Tc_-C5dNKjT-k60PRxknvV8oA_3_9"/>
      <w:bookmarkStart w:id="1622" w:name="Tc_MACtVu9moUKhk8_XHHH6sw_3_8"/>
      <w:bookmarkStart w:id="1623" w:name="Tc_Oqj8hhK56U6zj08TQl_k9Q_3_5"/>
      <w:bookmarkStart w:id="1624" w:name="Tc_2Je5Kfg3KECPyKdvPIqOOg_3_2"/>
      <w:bookmarkStart w:id="1625" w:name="Tc_MB-2q0WMa0Gpgfa4kMasug_3_0"/>
      <w:bookmarkStart w:id="1626" w:name="Tc__cD2lAfOLkm6ofRT4fcWAw_2_11"/>
      <w:bookmarkStart w:id="1627" w:name="Tc_OTPvuuJ7cUOEaKd6gdE0pA_2_8"/>
      <w:bookmarkStart w:id="1628" w:name="Tc_podnKkWHP0iDYawZsIBEGw_2_5"/>
      <w:bookmarkStart w:id="1629" w:name="Tc_PFPUE0dByUyOeAfcivaAZQ_2_2"/>
      <w:bookmarkStart w:id="1630" w:name="Tc_yE7dGBxM2U6FuhAOCh0T8g_1_5"/>
      <w:bookmarkStart w:id="1631" w:name="Tc_3J1hWdLflEqowFif58ML6A_1_2"/>
      <w:bookmarkStart w:id="1632" w:name="_7b5aec01_1400_4ee4_bd41_02bb4a54a778"/>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p>
    <w:tbl>
      <w:tblPr>
        <w:tblW w:w="7473" w:type="dxa"/>
        <w:jc w:val="left"/>
        <w:tblInd w:w="0" w:type="dxa"/>
        <w:tblLayout w:type="fixed"/>
        <w:tblCellMar>
          <w:top w:w="0" w:type="dxa"/>
          <w:left w:w="0" w:type="dxa"/>
          <w:bottom w:w="0" w:type="dxa"/>
          <w:right w:w="0" w:type="dxa"/>
        </w:tblCellMar>
      </w:tblPr>
      <w:tblGrid>
        <w:gridCol w:w="3091"/>
        <w:gridCol w:w="109"/>
        <w:gridCol w:w="366"/>
        <w:gridCol w:w="1179"/>
        <w:gridCol w:w="109"/>
        <w:gridCol w:w="205"/>
        <w:gridCol w:w="630"/>
        <w:gridCol w:w="114"/>
        <w:gridCol w:w="205"/>
        <w:gridCol w:w="661"/>
        <w:gridCol w:w="114"/>
        <w:gridCol w:w="208"/>
        <w:gridCol w:w="482"/>
      </w:tblGrid>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 Value</w:t>
            </w:r>
          </w:p>
        </w:tc>
        <w:tc>
          <w:tcPr>
            <w:tcW w:w="109" w:type="dxa"/>
            <w:tcBorders/>
            <w:vAlign w:val="center"/>
          </w:tcPr>
          <w:p>
            <w:pPr>
              <w:pStyle w:val="TableContents"/>
              <w:bidi w:val="0"/>
              <w:spacing w:before="0" w:after="1"/>
              <w:ind w:left="0" w:right="0" w:hanging="0"/>
              <w:jc w:val="left"/>
              <w:rPr/>
            </w:pPr>
            <w:r>
              <w:rPr/>
              <w:t>​</w:t>
            </w:r>
          </w:p>
        </w:tc>
        <w:tc>
          <w:tcPr>
            <w:tcW w:w="26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c>
          <w:tcPr>
            <w:tcW w:w="109" w:type="dxa"/>
            <w:tcBorders/>
            <w:vAlign w:val="center"/>
          </w:tcPr>
          <w:p>
            <w:pPr>
              <w:pStyle w:val="TableContents"/>
              <w:bidi w:val="0"/>
              <w:spacing w:before="0" w:after="1"/>
              <w:ind w:left="0" w:right="0" w:hanging="0"/>
              <w:jc w:val="left"/>
              <w:rPr/>
            </w:pPr>
            <w:r>
              <w:rPr/>
              <w:t>​</w:t>
            </w:r>
          </w:p>
        </w:tc>
        <w:tc>
          <w:tcPr>
            <w:tcW w:w="8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14" w:type="dxa"/>
            <w:tcBorders/>
            <w:vAlign w:val="center"/>
          </w:tcPr>
          <w:p>
            <w:pPr>
              <w:pStyle w:val="TableContents"/>
              <w:bidi w:val="0"/>
              <w:spacing w:before="0" w:after="1"/>
              <w:ind w:left="0" w:right="0" w:hanging="0"/>
              <w:jc w:val="left"/>
              <w:rPr/>
            </w:pPr>
            <w:r>
              <w:rPr/>
              <w:t>​</w:t>
            </w:r>
          </w:p>
        </w:tc>
        <w:tc>
          <w:tcPr>
            <w:tcW w:w="8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14" w:type="dxa"/>
            <w:tcBorders/>
            <w:vAlign w:val="center"/>
          </w:tcPr>
          <w:p>
            <w:pPr>
              <w:pStyle w:val="TableContents"/>
              <w:bidi w:val="0"/>
              <w:spacing w:before="0" w:after="1"/>
              <w:ind w:left="0" w:right="0" w:hanging="0"/>
              <w:jc w:val="left"/>
              <w:rPr/>
            </w:pPr>
            <w:r>
              <w:rPr/>
              <w:t>​</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29,631</w:t>
            </w:r>
          </w:p>
        </w:tc>
        <w:tc>
          <w:tcPr>
            <w:tcW w:w="114"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financial instruments, net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pPr>
            <w:r>
              <w:rPr/>
              <w:t>—</w:t>
            </w:r>
          </w:p>
        </w:tc>
        <w:tc>
          <w:tcPr>
            <w:tcW w:w="114"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14"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482"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equivalents—mutual funds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3,752</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3,752</w:t>
            </w:r>
          </w:p>
        </w:tc>
        <w:tc>
          <w:tcPr>
            <w:tcW w:w="114"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482"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7464" w:type="dxa"/>
        <w:jc w:val="left"/>
        <w:tblInd w:w="0" w:type="dxa"/>
        <w:tblLayout w:type="fixed"/>
        <w:tblCellMar>
          <w:top w:w="0" w:type="dxa"/>
          <w:left w:w="0" w:type="dxa"/>
          <w:bottom w:w="0" w:type="dxa"/>
          <w:right w:w="0" w:type="dxa"/>
        </w:tblCellMar>
      </w:tblPr>
      <w:tblGrid>
        <w:gridCol w:w="3091"/>
        <w:gridCol w:w="109"/>
        <w:gridCol w:w="379"/>
        <w:gridCol w:w="1166"/>
        <w:gridCol w:w="109"/>
        <w:gridCol w:w="216"/>
        <w:gridCol w:w="662"/>
        <w:gridCol w:w="120"/>
        <w:gridCol w:w="216"/>
        <w:gridCol w:w="563"/>
        <w:gridCol w:w="120"/>
        <w:gridCol w:w="216"/>
        <w:gridCol w:w="497"/>
      </w:tblGrid>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Carrying Value</w:t>
            </w:r>
          </w:p>
        </w:tc>
        <w:tc>
          <w:tcPr>
            <w:tcW w:w="109" w:type="dxa"/>
            <w:tcBorders/>
            <w:vAlign w:val="center"/>
          </w:tcPr>
          <w:p>
            <w:pPr>
              <w:pStyle w:val="TableContents"/>
              <w:bidi w:val="0"/>
              <w:spacing w:before="0" w:after="1"/>
              <w:ind w:left="0" w:right="0" w:hanging="0"/>
              <w:jc w:val="left"/>
              <w:rPr/>
            </w:pPr>
            <w:r>
              <w:rPr/>
              <w:t>​</w:t>
            </w:r>
          </w:p>
        </w:tc>
        <w:tc>
          <w:tcPr>
            <w:tcW w:w="261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 2024</w:t>
            </w:r>
          </w:p>
        </w:tc>
        <w:tc>
          <w:tcPr>
            <w:tcW w:w="109" w:type="dxa"/>
            <w:tcBorders/>
            <w:vAlign w:val="center"/>
          </w:tcPr>
          <w:p>
            <w:pPr>
              <w:pStyle w:val="TableContents"/>
              <w:bidi w:val="0"/>
              <w:spacing w:before="0" w:after="1"/>
              <w:ind w:left="0" w:right="0" w:hanging="0"/>
              <w:jc w:val="left"/>
              <w:rPr/>
            </w:pPr>
            <w:r>
              <w:rPr/>
              <w:t>​</w:t>
            </w:r>
          </w:p>
        </w:tc>
        <w:tc>
          <w:tcPr>
            <w:tcW w:w="8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20" w:type="dxa"/>
            <w:tcBorders/>
            <w:vAlign w:val="center"/>
          </w:tcPr>
          <w:p>
            <w:pPr>
              <w:pStyle w:val="TableContents"/>
              <w:bidi w:val="0"/>
              <w:spacing w:before="0" w:after="1"/>
              <w:ind w:left="0" w:right="0" w:hanging="0"/>
              <w:jc w:val="left"/>
              <w:rPr/>
            </w:pPr>
            <w:r>
              <w:rPr/>
              <w:t>​</w:t>
            </w:r>
          </w:p>
        </w:tc>
        <w:tc>
          <w:tcPr>
            <w:tcW w:w="7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20" w:type="dxa"/>
            <w:tcBorders/>
            <w:vAlign w:val="center"/>
          </w:tcPr>
          <w:p>
            <w:pPr>
              <w:pStyle w:val="TableContents"/>
              <w:bidi w:val="0"/>
              <w:spacing w:before="0" w:after="1"/>
              <w:ind w:left="0" w:right="0" w:hanging="0"/>
              <w:jc w:val="left"/>
              <w:rPr/>
            </w:pPr>
            <w:r>
              <w:rPr/>
              <w:t>​</w:t>
            </w:r>
          </w:p>
        </w:tc>
        <w:tc>
          <w:tcPr>
            <w:tcW w:w="7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27,379</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27,379</w:t>
            </w:r>
          </w:p>
        </w:tc>
        <w:tc>
          <w:tcPr>
            <w:tcW w:w="12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3" w:type="dxa"/>
            <w:tcBorders/>
            <w:shd w:fill="CCEEFF" w:val="cle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7"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financial instruments, net</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1,320</w:t>
            </w:r>
          </w:p>
        </w:tc>
        <w:tc>
          <w:tcPr>
            <w:tcW w:w="109"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1,320</w:t>
            </w:r>
          </w:p>
        </w:tc>
        <w:tc>
          <w:tcPr>
            <w:tcW w:w="12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equivalents—mutual funds</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11,063</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11,063</w:t>
            </w:r>
          </w:p>
        </w:tc>
        <w:tc>
          <w:tcPr>
            <w:tcW w:w="12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fair value redemption amounts of certain redeemable noncontrolling interests are measured on a recurring basis utilizing Level 3 inputs, including estimates of future revenue, operating margins, growth rates, and discount rates.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second quarter of fiscal 2025, the carrying values of certain long-lived assets that will no longer be utilized were reduced to their respective fair values, based on Level 3 inputs, resulting in impairment charges totaling $19,657 in the Infrastructure segment and $586 in the Agriculture segment.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Certain assets and liabilities, including goodwill, other intangible assets, and asset retirement obligations, are measured at fair value on a non-recurring basis using Level 3 inputs. In the fourth quarter of fiscal 2025, the Company recorded approximately $10,254 of asset retirement obligations, primarily related to environmental remediation obligations within the Asia-Pacific region. The fair value of these obligations was determined using Level 3 inputs, including a credit-adjusted risk-free rate, inflation assumptions, and probability-weighted estimates of potential environmental remediation scenarios. See Note 7 for further information on goodwill and other intangible assets.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Unless otherwise specified, the Company believes the carrying values of financial instruments approximate their fair values.</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633" w:name="Tc_Cphci-rt30qZ1hhMiOaezA_7_7"/>
      <w:bookmarkStart w:id="1634" w:name="Tc_n4Lvplo7r0ayX7VfHCir4g_7_4"/>
      <w:bookmarkStart w:id="1635" w:name="Tc_ytZeR7Vq4EyZT5yQzQCOEg_6_8"/>
      <w:bookmarkStart w:id="1636" w:name="Tc_faFkGwDH_0-8_N8TrKycUg_6_2"/>
      <w:bookmarkStart w:id="1637" w:name="Tc_DzPm6WOvZEWCUJc33k0x6g_6_0"/>
      <w:bookmarkStart w:id="1638" w:name="Tc_NtsaAHGwcU6-x_DjP6VN0Q_5_2"/>
      <w:bookmarkStart w:id="1639" w:name="Tc_DOb-YL4L_kegcP039X4cIA_5_0"/>
      <w:bookmarkStart w:id="1640" w:name="Tc_kmwrB6bEOE-bk4wEZejivQ_4_5"/>
      <w:bookmarkStart w:id="1641" w:name="Tc_yHkbN51il0C1KqNy_O3Nvg_4_2"/>
      <w:bookmarkStart w:id="1642" w:name="Tc_gmIOBKFlDkS4xjr-spQSmA_4_0"/>
      <w:bookmarkStart w:id="1643" w:name="Tc_NhspBoV1xkevzl6XV3hLoA_3_7"/>
      <w:bookmarkStart w:id="1644" w:name="Tc_qTHTxQTTE0KqtXZ2YiQYJg_3_4"/>
      <w:bookmarkStart w:id="1645" w:name="Tc_FSLbI1kvO0G0L5faTeo-7w_3_2"/>
      <w:bookmarkStart w:id="1646" w:name="Tc_In-CZdtvFkKkeuU8WvuwUQ_3_0"/>
      <w:bookmarkStart w:id="1647" w:name="Tc_54WWQAEOYUCOleDLL4p4nA_2_7"/>
      <w:bookmarkStart w:id="1648" w:name="Tc_U6KsTlQDSE-P_wcFXUTncA_2_4"/>
      <w:bookmarkStart w:id="1649" w:name="Tc_Z5wtUTQ6JEuh5UHS75rzmQ_2_2"/>
      <w:bookmarkStart w:id="1650" w:name="Tc_CrwjqlkQGEmOEVG3pn8dLQ_2_0"/>
      <w:bookmarkStart w:id="1651" w:name="Tc_qzGGpukRbUyEWpBAQhAqDg_1_7"/>
      <w:bookmarkStart w:id="1652" w:name="Tc_UQzt1w1U80mYg07Zcguk-g_1_4"/>
      <w:bookmarkStart w:id="1653" w:name="Tc_wyZcs9229E6Pw9a6bM1fDQ_1_2"/>
      <w:bookmarkStart w:id="1654" w:name="a15DERIVATIVEFINANCIALINSTRUMENTS_181761"/>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r>
        <w:rPr>
          <w:rFonts w:ascii="Times New Roman;Times;serif" w:hAnsi="Times New Roman;Times;serif"/>
          <w:b/>
          <w:sz w:val="20"/>
        </w:rPr>
        <w:t>(15) DERIVATIVE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manages risks related to interest rates, commodity prices, and foreign currency, particularly those arising from foreign currency denominated transactions and investments in foreign subsidiaries. To address these risks, the Company may use derivative financial instruments. Depending on their classification, some derivatives are marked to market and recorded in the Company’s Consolidated Statements of Earnings, while others are accounted for as fair value, cash flow, or net investment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Derivative financial instruments inherently carry credit and market risks, which the Company mitigates by monitoring exposure limits and transacting with recognized, stable multinational banks as counterparties. Gains or losses from net investment hedge activities remain in AOCI until the related subsidiaries are sold or substantially liquidated.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derivative instruments as of December 27, 2025 and December 28, 2024 was as follows:</w:t>
      </w:r>
    </w:p>
    <w:p>
      <w:pPr>
        <w:pStyle w:val="TextBody"/>
        <w:bidi w:val="0"/>
        <w:spacing w:before="0" w:after="0"/>
        <w:ind w:left="0" w:right="0" w:hanging="0"/>
        <w:jc w:val="left"/>
        <w:rPr/>
      </w:pPr>
      <w:r>
        <w:rPr/>
        <w:t>​</w:t>
      </w:r>
    </w:p>
    <w:tbl>
      <w:tblPr>
        <w:tblW w:w="9723" w:type="dxa"/>
        <w:jc w:val="left"/>
        <w:tblInd w:w="0" w:type="dxa"/>
        <w:tblLayout w:type="fixed"/>
        <w:tblCellMar>
          <w:top w:w="0" w:type="dxa"/>
          <w:left w:w="0" w:type="dxa"/>
          <w:bottom w:w="0" w:type="dxa"/>
          <w:right w:w="0" w:type="dxa"/>
        </w:tblCellMar>
      </w:tblPr>
      <w:tblGrid>
        <w:gridCol w:w="3751"/>
        <w:gridCol w:w="346"/>
        <w:gridCol w:w="3046"/>
        <w:gridCol w:w="109"/>
        <w:gridCol w:w="290"/>
        <w:gridCol w:w="850"/>
        <w:gridCol w:w="146"/>
        <w:gridCol w:w="286"/>
        <w:gridCol w:w="899"/>
      </w:tblGrid>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r>
      <w:tr>
        <w:trPr/>
        <w:tc>
          <w:tcPr>
            <w:tcW w:w="3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0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Consolidated</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1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 as hedging instruments:</w:t>
            </w:r>
          </w:p>
        </w:tc>
        <w:tc>
          <w:tcPr>
            <w:tcW w:w="346" w:type="dxa"/>
            <w:tcBorders/>
            <w:vAlign w:val="center"/>
          </w:tcPr>
          <w:p>
            <w:pPr>
              <w:pStyle w:val="TableContents"/>
              <w:bidi w:val="0"/>
              <w:spacing w:before="0" w:after="1"/>
              <w:ind w:left="0" w:right="0" w:hanging="0"/>
              <w:jc w:val="left"/>
              <w:rPr/>
            </w:pPr>
            <w:r>
              <w:rPr/>
              <w:t>  ​ ​ ​</w:t>
            </w:r>
          </w:p>
        </w:tc>
        <w:tc>
          <w:tcPr>
            <w:tcW w:w="30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Sheets location</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1,590</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vAlign w:val="center"/>
          </w:tcPr>
          <w:p>
            <w:pPr>
              <w:pStyle w:val="TableContents"/>
              <w:bidi w:val="0"/>
              <w:spacing w:before="0" w:after="1"/>
              <w:ind w:left="0" w:right="0" w:hanging="0"/>
              <w:jc w:val="left"/>
              <w:rPr/>
            </w:pPr>
            <w:r>
              <w:rPr/>
              <w:t>​</w:t>
            </w:r>
          </w:p>
        </w:tc>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righ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4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1,074</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vAlign w:val="center"/>
          </w:tcPr>
          <w:p>
            <w:pPr>
              <w:pStyle w:val="TableContents"/>
              <w:bidi w:val="0"/>
              <w:spacing w:before="0" w:after="1"/>
              <w:ind w:left="0" w:right="0" w:hanging="0"/>
              <w:jc w:val="left"/>
              <w:rPr/>
            </w:pPr>
            <w:r>
              <w:rPr/>
              <w:t> </w:t>
            </w:r>
          </w:p>
        </w:tc>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(8,100)</w:t>
            </w:r>
          </w:p>
        </w:tc>
        <w:tc>
          <w:tcPr>
            <w:tcW w:w="146" w:type="dxa"/>
            <w:tcBorders/>
            <w:vAlign w:val="center"/>
          </w:tcPr>
          <w:p>
            <w:pPr>
              <w:pStyle w:val="TableContents"/>
              <w:bidi w:val="0"/>
              <w:spacing w:before="0" w:after="1"/>
              <w:ind w:left="0" w:right="0" w:hanging="0"/>
              <w:jc w:val="lef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1,320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655" w:name="Tc_h3IyOXVaJkyv6ob2LZ-1Rg_5_9"/>
      <w:bookmarkStart w:id="1656" w:name="Tc_PBeZvbwi3ESvjHcpzaRVSw_5_5"/>
      <w:bookmarkStart w:id="1657" w:name="Tc_ElUxUg4jjECgojAqx7XxCA_5_2"/>
      <w:bookmarkStart w:id="1658" w:name="Tc_VT_trITsikWT1uKxsRvvzA_5_0"/>
      <w:bookmarkStart w:id="1659" w:name="Tc_EQiF3ZQH7EqpnMbA2RWaBA_4_9"/>
      <w:bookmarkStart w:id="1660" w:name="Tc_KiIkKXJIn0uruFZbYKZmMw_4_5"/>
      <w:bookmarkStart w:id="1661" w:name="Tc_lGL96ay7cEelBLQDBCOGEQ_4_2"/>
      <w:bookmarkStart w:id="1662" w:name="Tc_sUXmU3EQkEOxABB0KMs3Qg_4_0"/>
      <w:bookmarkStart w:id="1663" w:name="Tc_dK2uUtn880GK8WG7l2iYXQ_3_9"/>
      <w:bookmarkStart w:id="1664" w:name="Tc_QkO2g0qQqE2Hc_AfDWiTOA_3_5"/>
      <w:bookmarkStart w:id="1665" w:name="Tc_HOapMSXusEe6zRoULKxXvA_3_2"/>
      <w:bookmarkStart w:id="1666" w:name="Tc_vf81k8pIkkK0tkQUn-SwZg_3_0"/>
      <w:bookmarkStart w:id="1667" w:name="Tc_ybuhh4DIGkGDhP88W3Vg6Q_2_9"/>
      <w:bookmarkStart w:id="1668" w:name="Tc_pj9KlbSjGUiQfdemk8dSPg_2_7"/>
      <w:bookmarkStart w:id="1669" w:name="Tc_-ZUyqI5DAUm4bWO4WiP4tA_2_5"/>
      <w:bookmarkStart w:id="1670" w:name="Tc_FAxA9NUS50mNmGjlOZBxlA_2_2"/>
      <w:bookmarkStart w:id="1671" w:name="Tc_2iHpgeRmVkmN0ZLnBI6n-g_2_0"/>
      <w:bookmarkStart w:id="1672" w:name="Tc_Vh1IBSmUpUSJyoL9eA5r9A_1_9"/>
      <w:bookmarkStart w:id="1673" w:name="Tc_OxT4j4UJi0Op_S2vW7U_kA_1_7"/>
      <w:bookmarkStart w:id="1674" w:name="Tc_2gPz5AFB2UeO4O7JKBBrxQ_1_2"/>
      <w:bookmarkStart w:id="1675" w:name="Tc_ROhp07DV6UyXtm-XBeNJxQ_6_7"/>
      <w:bookmarkStart w:id="1676" w:name="Tc_oPHRHKyavk6KGfE1dUcHpw_6_5"/>
      <w:bookmarkStart w:id="1677" w:name="Tc_q407KCJqoUapFbMXGSTB8g_6_0"/>
      <w:bookmarkStart w:id="1678" w:name="Tc_Cbw9p1rnpkyQNdJcJKUGBQ_5_7"/>
      <w:bookmarkStart w:id="1679" w:name="Tc_E2hm06q840SZRXIqQ0Cggg_5_5"/>
      <w:bookmarkStart w:id="1680" w:name="Tc_t2rf_67cbka_QyirVY4n0Q_5_0"/>
      <w:bookmarkStart w:id="1681" w:name="Tc_-EOv2l5WCkiUkW4KVwmkmw_4_7"/>
      <w:bookmarkStart w:id="1682" w:name="Tc_AGl3cLjPVEWdmLxNC62zKA_4_5"/>
      <w:bookmarkStart w:id="1683" w:name="Tc_z35M1IHuMUWI8PWeK_92xA_4_0"/>
      <w:bookmarkStart w:id="1684" w:name="Tc_RHW86HEUhUCLgTKVhIZfcA_3_7"/>
      <w:bookmarkStart w:id="1685" w:name="Tc_Lu65lk0yski8LlZ74XugSg_3_5"/>
      <w:bookmarkStart w:id="1686" w:name="Tc_MHM7f5LxBEytmXOleAZjYw_3_2"/>
      <w:bookmarkStart w:id="1687" w:name="Tc_YMw2x0HVZ0qiLx10kNVKHQ_3_0"/>
      <w:bookmarkStart w:id="1688" w:name="Tc_0mX1dfPbAkOSWY5FNMWxqQ_2_7"/>
      <w:bookmarkStart w:id="1689" w:name="Tc_3yGkDoEzU0urdQ39QamcAA_2_5"/>
      <w:bookmarkStart w:id="1690" w:name="Tc_pUqJo79BQkKTEClbHr-V4A_2_2"/>
      <w:bookmarkStart w:id="1691" w:name="Tc_Yz3Tg9-aBEyESLuOxzUn0Q_2_0"/>
      <w:bookmarkStart w:id="1692" w:name="Tc_GTy9DVck-0-E_-F8I4FxGw_1_5"/>
      <w:bookmarkStart w:id="1693" w:name="Tc_Z5yVlr6bbkagRL0GZhVJlg_1_2"/>
      <w:bookmarkStart w:id="1694" w:name="Tc_1hIoCus0REGuFyymLqXTzQ_8_10"/>
      <w:bookmarkStart w:id="1695" w:name="Tc_USRio3XZZk25yRPcjR77Dg_8_7"/>
      <w:bookmarkStart w:id="1696" w:name="Tc_XC9gFcGpV0ej52BBGrFteQ_8_4"/>
      <w:bookmarkStart w:id="1697" w:name="Tc_R303lfFdTkmlrM_P8duU7g_7_0"/>
      <w:bookmarkStart w:id="1698" w:name="Tc_P4QnVaa9q0e11a35RnxXxA_6_0"/>
      <w:bookmarkStart w:id="1699" w:name="Tc_eGqfOnrrH0q9e8mPgCnwMA_5_8"/>
      <w:bookmarkStart w:id="1700" w:name="Tc_fFAvVOnzT0awPCK_fLcDAw_5_5"/>
      <w:bookmarkStart w:id="1701" w:name="Tc_GyWP-vfT-EOAA48BzEg7Lg_5_0"/>
      <w:bookmarkStart w:id="1702" w:name="Tc_NFhcenaBpkGmogIQAYWAhA_4_10"/>
      <w:bookmarkStart w:id="1703" w:name="Tc_SNWwCeEP_02zWOcYG7h-eA_4_7"/>
      <w:bookmarkStart w:id="1704" w:name="Tc_TL46HGnyREapCqKqpGdfRA_4_4"/>
      <w:bookmarkStart w:id="1705" w:name="Tc_D3eYAss-pU26tlkhCd_ikA_4_0"/>
      <w:bookmarkStart w:id="1706" w:name="Tc_T4Q6sDH8f0eVPG01dT484Q_3_10"/>
      <w:bookmarkStart w:id="1707" w:name="Tc_Gd_ZaOl2c0GKspticg6u7A_3_7"/>
      <w:bookmarkStart w:id="1708" w:name="Tc_Un_7FAACaUCqS_i7pg6RQg_3_4"/>
      <w:bookmarkStart w:id="1709" w:name="Tc_XxyhWqQH20K7Dosa_Guy5Q_3_2"/>
      <w:bookmarkStart w:id="1710" w:name="Tc_tGeKxYFVY0-zFSwdJavvwA_3_0"/>
      <w:bookmarkStart w:id="1711" w:name="Tc_7u4sTJu3nUuX3oERdoAepA_2_10"/>
      <w:bookmarkStart w:id="1712" w:name="Tc_95JcHbzLp06GT6t6ra8Dcg_2_7"/>
      <w:bookmarkStart w:id="1713" w:name="Tc_rz-MtZy-m0m5x88SwTyoAQ_2_4"/>
      <w:bookmarkStart w:id="1714" w:name="Tc_hfobI50lRk2CVUY8OhvQQw_2_2"/>
      <w:bookmarkStart w:id="1715" w:name="Tc_c4H2gpob6EaMTtjM9owXUA_2_0"/>
      <w:bookmarkStart w:id="1716" w:name="Tc_t8Topgg_QEKdIrKG4ptaGg_1_4"/>
      <w:bookmarkStart w:id="1717" w:name="Tc_AE1zAO99uUyYgWUxBh-TEQ_1_2"/>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Fonts w:ascii="Times New Roman;Times;serif" w:hAnsi="Times New Roman;Times;serif"/>
          <w:sz w:val="20"/>
        </w:rPr>
        <w:t>Gains (losses) on derivatives recognized in the Consolidated Statements of Earnings for the fiscal years ended December 27, 2025, December 28, 2024, and December 30, 2023 were as follows:</w:t>
      </w:r>
    </w:p>
    <w:p>
      <w:pPr>
        <w:pStyle w:val="TextBody"/>
        <w:bidi w:val="0"/>
        <w:spacing w:before="0" w:after="0"/>
        <w:ind w:left="0" w:right="0" w:hanging="0"/>
        <w:jc w:val="left"/>
        <w:rPr/>
      </w:pPr>
      <w:r>
        <w:rPr/>
        <w:t>​</w:t>
      </w:r>
    </w:p>
    <w:tbl>
      <w:tblPr>
        <w:tblW w:w="8714" w:type="dxa"/>
        <w:jc w:val="left"/>
        <w:tblInd w:w="0" w:type="dxa"/>
        <w:tblLayout w:type="fixed"/>
        <w:tblCellMar>
          <w:top w:w="0" w:type="dxa"/>
          <w:left w:w="0" w:type="dxa"/>
          <w:bottom w:w="0" w:type="dxa"/>
          <w:right w:w="0" w:type="dxa"/>
        </w:tblCellMar>
      </w:tblPr>
      <w:tblGrid>
        <w:gridCol w:w="2626"/>
        <w:gridCol w:w="346"/>
        <w:gridCol w:w="1876"/>
        <w:gridCol w:w="109"/>
        <w:gridCol w:w="315"/>
        <w:gridCol w:w="825"/>
        <w:gridCol w:w="146"/>
        <w:gridCol w:w="290"/>
        <w:gridCol w:w="850"/>
        <w:gridCol w:w="146"/>
        <w:gridCol w:w="286"/>
        <w:gridCol w:w="899"/>
      </w:tblGrid>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1"/>
              <w:ind w:left="0" w:right="0" w:hanging="0"/>
              <w:jc w:val="left"/>
              <w:rPr/>
            </w:pPr>
            <w:r>
              <w:rPr/>
              <w:t>​</w:t>
            </w:r>
          </w:p>
        </w:tc>
        <w:tc>
          <w:tcPr>
            <w:tcW w:w="82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Consolidated</w:t>
            </w:r>
          </w:p>
        </w:tc>
        <w:tc>
          <w:tcPr>
            <w:tcW w:w="109" w:type="dxa"/>
            <w:tcBorders/>
            <w:vAlign w:val="center"/>
          </w:tcPr>
          <w:p>
            <w:pPr>
              <w:pStyle w:val="TableContents"/>
              <w:bidi w:val="0"/>
              <w:spacing w:before="0" w:after="1"/>
              <w:ind w:left="0" w:right="0" w:hanging="0"/>
              <w:jc w:val="left"/>
              <w:rPr/>
            </w:pPr>
            <w:r>
              <w:rPr/>
              <w:t>​</w:t>
            </w:r>
          </w:p>
        </w:tc>
        <w:tc>
          <w:tcPr>
            <w:tcW w:w="37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w:t>
            </w:r>
          </w:p>
        </w:tc>
        <w:tc>
          <w:tcPr>
            <w:tcW w:w="346" w:type="dxa"/>
            <w:tcBorders/>
            <w:vAlign w:val="center"/>
          </w:tcPr>
          <w:p>
            <w:pPr>
              <w:pStyle w:val="TableContents"/>
              <w:bidi w:val="0"/>
              <w:spacing w:before="0" w:after="1"/>
              <w:ind w:left="0" w:right="0" w:hanging="0"/>
              <w:jc w:val="left"/>
              <w:rPr/>
            </w:pPr>
            <w:r>
              <w:rPr/>
              <w:t>​</w:t>
            </w:r>
          </w:p>
        </w:tc>
        <w:tc>
          <w:tcPr>
            <w:tcW w:w="18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Statements of</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1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hedging instruments:</w:t>
            </w:r>
          </w:p>
        </w:tc>
        <w:tc>
          <w:tcPr>
            <w:tcW w:w="346" w:type="dxa"/>
            <w:tcBorders/>
            <w:vAlign w:val="center"/>
          </w:tcPr>
          <w:p>
            <w:pPr>
              <w:pStyle w:val="TableContents"/>
              <w:bidi w:val="0"/>
              <w:spacing w:before="0" w:after="1"/>
              <w:ind w:left="0" w:right="0" w:hanging="0"/>
              <w:jc w:val="left"/>
              <w:rPr/>
            </w:pPr>
            <w:r>
              <w:rPr/>
              <w:t>​</w:t>
            </w:r>
          </w:p>
        </w:tc>
        <w:tc>
          <w:tcPr>
            <w:tcW w:w="18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 location</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Product 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w:t>
            </w:r>
          </w:p>
        </w:tc>
        <w:tc>
          <w:tcPr>
            <w:tcW w:w="1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(3,007)</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(7,057)</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forward contracts</w:t>
            </w:r>
          </w:p>
        </w:tc>
        <w:tc>
          <w:tcPr>
            <w:tcW w:w="346" w:type="dxa"/>
            <w:tcBorders/>
            <w:vAlign w:val="center"/>
          </w:tcPr>
          <w:p>
            <w:pPr>
              <w:pStyle w:val="TableContents"/>
              <w:bidi w:val="0"/>
              <w:spacing w:before="0" w:after="1"/>
              <w:ind w:left="0" w:right="0" w:hanging="0"/>
              <w:jc w:val="left"/>
              <w:rPr/>
            </w:pPr>
            <w:r>
              <w:rPr/>
              <w:t>​</w:t>
            </w:r>
          </w:p>
        </w:tc>
        <w:tc>
          <w:tcPr>
            <w:tcW w:w="18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income (expenses)</w:t>
            </w:r>
          </w:p>
        </w:tc>
        <w:tc>
          <w:tcPr>
            <w:tcW w:w="109"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right"/>
              <w:rPr/>
            </w:pPr>
            <w:r>
              <w:rPr/>
              <w:t>​</w:t>
            </w:r>
          </w:p>
        </w:tc>
        <w:tc>
          <w:tcPr>
            <w:tcW w:w="82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right"/>
              <w:rPr/>
            </w:pPr>
            <w:r>
              <w:rPr/>
              <w:t>​</w:t>
            </w:r>
          </w:p>
        </w:tc>
        <w:tc>
          <w:tcPr>
            <w:tcW w:w="85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8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hedge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right"/>
              <w:rPr/>
            </w:pPr>
            <w:r>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146" w:type="dxa"/>
            <w:tcBorders/>
            <w:shd w:fill="CCEEFF" w:val="clear"/>
            <w:vAlign w:val="center"/>
          </w:tcPr>
          <w:p>
            <w:pPr>
              <w:pStyle w:val="TableContents"/>
              <w:bidi w:val="0"/>
              <w:spacing w:before="0" w:after="1"/>
              <w:ind w:left="0" w:right="0" w:hanging="0"/>
              <w:jc w:val="left"/>
              <w:rPr/>
            </w:pPr>
            <w:r>
              <w:rPr/>
              <w:t> </w:t>
            </w:r>
          </w:p>
        </w:tc>
        <w:tc>
          <w:tcPr>
            <w:tcW w:w="290" w:type="dxa"/>
            <w:tcBorders/>
            <w:shd w:fill="CCEEFF" w:val="clear"/>
            <w:vAlign w:val="center"/>
          </w:tcPr>
          <w:p>
            <w:pPr>
              <w:pStyle w:val="TableContents"/>
              <w:bidi w:val="0"/>
              <w:spacing w:before="0" w:after="1"/>
              <w:ind w:left="0" w:right="0" w:hanging="0"/>
              <w:jc w:val="righ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14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Cross-currency swap contracts</w:t>
            </w:r>
          </w:p>
        </w:tc>
        <w:tc>
          <w:tcPr>
            <w:tcW w:w="346" w:type="dxa"/>
            <w:tcBorders/>
            <w:vAlign w:val="center"/>
          </w:tcPr>
          <w:p>
            <w:pPr>
              <w:pStyle w:val="TableContents"/>
              <w:bidi w:val="0"/>
              <w:spacing w:before="0" w:after="1"/>
              <w:ind w:left="0" w:right="0" w:hanging="0"/>
              <w:jc w:val="left"/>
              <w:rPr/>
            </w:pPr>
            <w:r>
              <w:rPr/>
              <w:t>​</w:t>
            </w:r>
          </w:p>
        </w:tc>
        <w:tc>
          <w:tcPr>
            <w:tcW w:w="18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w:t>
            </w:r>
          </w:p>
        </w:tc>
        <w:tc>
          <w:tcPr>
            <w:tcW w:w="109"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1,463</w:t>
            </w:r>
          </w:p>
        </w:tc>
        <w:tc>
          <w:tcPr>
            <w:tcW w:w="146" w:type="dxa"/>
            <w:tcBorders/>
            <w:vAlign w:val="center"/>
          </w:tcPr>
          <w:p>
            <w:pPr>
              <w:pStyle w:val="TableContents"/>
              <w:bidi w:val="0"/>
              <w:spacing w:before="0" w:after="1"/>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w:t>
            </w:r>
          </w:p>
        </w:tc>
        <w:tc>
          <w:tcPr>
            <w:tcW w:w="146" w:type="dxa"/>
            <w:tcBorders/>
            <w:vAlign w:val="center"/>
          </w:tcPr>
          <w:p>
            <w:pPr>
              <w:pStyle w:val="TableContents"/>
              <w:bidi w:val="0"/>
              <w:spacing w:before="0" w:after="1"/>
              <w:ind w:left="0" w:right="0" w:hanging="0"/>
              <w:jc w:val="lef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1,813</w:t>
            </w:r>
          </w:p>
        </w:tc>
      </w:tr>
      <w:tr>
        <w:trPr/>
        <w:tc>
          <w:tcPr>
            <w:tcW w:w="26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1,665</w:t>
            </w:r>
          </w:p>
        </w:tc>
        <w:tc>
          <w:tcPr>
            <w:tcW w:w="14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(1,825)</w:t>
            </w:r>
          </w:p>
        </w:tc>
        <w:tc>
          <w:tcPr>
            <w:tcW w:w="146"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(5,131)</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commodity forward, swap, and option contracts to hedge variability in cash flows related to future purchases. Gains (losses) realized upon settlement are recorded in “Product cost of sales” in the Consolidated Statements of Earnings in the period in which the hedged items are consumed. As of December 27, 2025, the details of these contracts were as follows:</w:t>
      </w:r>
    </w:p>
    <w:p>
      <w:pPr>
        <w:pStyle w:val="TextBody"/>
        <w:bidi w:val="0"/>
        <w:spacing w:before="0" w:after="0"/>
        <w:ind w:left="0" w:right="0" w:hanging="0"/>
        <w:jc w:val="left"/>
        <w:rPr/>
      </w:pPr>
      <w:r>
        <w:rPr/>
        <w:t>​</w:t>
      </w:r>
    </w:p>
    <w:tbl>
      <w:tblPr>
        <w:tblW w:w="7430" w:type="dxa"/>
        <w:jc w:val="left"/>
        <w:tblInd w:w="0" w:type="dxa"/>
        <w:tblLayout w:type="fixed"/>
        <w:tblCellMar>
          <w:top w:w="0" w:type="dxa"/>
          <w:left w:w="0" w:type="dxa"/>
          <w:bottom w:w="0" w:type="dxa"/>
          <w:right w:w="0" w:type="dxa"/>
        </w:tblCellMar>
      </w:tblPr>
      <w:tblGrid>
        <w:gridCol w:w="2056"/>
        <w:gridCol w:w="346"/>
        <w:gridCol w:w="212"/>
        <w:gridCol w:w="554"/>
        <w:gridCol w:w="109"/>
        <w:gridCol w:w="1546"/>
        <w:gridCol w:w="146"/>
        <w:gridCol w:w="2461"/>
      </w:tblGrid>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pPr>
            <w:r>
              <w:rPr/>
              <w:t>​</w:t>
            </w:r>
          </w:p>
        </w:tc>
      </w:tr>
      <w:tr>
        <w:trPr/>
        <w:tc>
          <w:tcPr>
            <w:tcW w:w="2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pPr>
            <w:r>
              <w:rPr/>
              <w:t>​</w:t>
            </w:r>
          </w:p>
        </w:tc>
      </w:tr>
      <w:tr>
        <w:trPr/>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Commodity Type</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 Quantity</w:t>
            </w:r>
          </w:p>
        </w:tc>
        <w:tc>
          <w:tcPr>
            <w:tcW w:w="146" w:type="dxa"/>
            <w:tcBorders/>
            <w:vAlign w:val="center"/>
          </w:tcPr>
          <w:p>
            <w:pPr>
              <w:pStyle w:val="TableContents"/>
              <w:bidi w:val="0"/>
              <w:spacing w:before="0" w:after="1"/>
              <w:ind w:left="0" w:right="0" w:hanging="0"/>
              <w:jc w:val="left"/>
              <w:rPr/>
            </w:pPr>
            <w:r>
              <w:rPr/>
              <w:t>​</w:t>
            </w:r>
          </w:p>
        </w:tc>
        <w:tc>
          <w:tcPr>
            <w:tcW w:w="24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Maturity Dates</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Hot-rolled coil steel</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6,226</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7,250 short tons</w:t>
            </w:r>
          </w:p>
        </w:tc>
        <w:tc>
          <w:tcPr>
            <w:tcW w:w="146" w:type="dxa"/>
            <w:tcBorders/>
            <w:shd w:fill="CCEEFF" w:val="clear"/>
            <w:vAlign w:val="center"/>
          </w:tcPr>
          <w:p>
            <w:pPr>
              <w:pStyle w:val="TableContents"/>
              <w:bidi w:val="0"/>
              <w:spacing w:before="0" w:after="1"/>
              <w:ind w:left="0" w:right="0" w:hanging="0"/>
              <w:jc w:val="left"/>
              <w:rPr/>
            </w:pPr>
            <w:r>
              <w:rPr/>
              <w:t> </w:t>
            </w:r>
          </w:p>
        </w:tc>
        <w:tc>
          <w:tcPr>
            <w:tcW w:w="246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2025</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809</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210,000 MMBtu</w:t>
            </w:r>
          </w:p>
        </w:tc>
        <w:tc>
          <w:tcPr>
            <w:tcW w:w="1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January 2026 to December 2026</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Ultra-low-sulfur diesel fuel</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8,289</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4,032,000 gallons</w:t>
            </w:r>
          </w:p>
        </w:tc>
        <w:tc>
          <w:tcPr>
            <w:tcW w:w="146"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2025 to June 2027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Zinc</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8,808</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2,880 metric tons</w:t>
            </w:r>
          </w:p>
        </w:tc>
        <w:tc>
          <w:tcPr>
            <w:tcW w:w="1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January 2026 to December 2027</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Net Investment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manage foreign currency risk associated with its foreign currency investments and reduce interest expenses, the Company uses fixed-for-fixed cross-currency swaps (“CCS”). These swaps convert U.S. dollar principal and interest payments on a portion of its 5.00% senior unsecured notes due in fiscal 2044 into foreign-currency-denominated payments. Interest payments are exchanged biannually on April 1 and October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designated the full notional amounts of its CCS as net investment hedges for certain subsidiaries under the spot method. Changes in fair value of the CCS attributable to spot exchange rates are recorded as cumulative foreign currency translation within AOCI, while net interest receipts reduce interest expense over the life of the CCS. Key terms as of December 27, 2025 were as follows:</w:t>
      </w:r>
    </w:p>
    <w:p>
      <w:pPr>
        <w:pStyle w:val="TextBody"/>
        <w:bidi w:val="0"/>
        <w:spacing w:before="0" w:after="0"/>
        <w:ind w:left="0" w:right="0" w:hanging="0"/>
        <w:jc w:val="left"/>
        <w:rPr/>
      </w:pPr>
      <w:r>
        <w:rPr/>
        <w:t>​</w:t>
      </w:r>
    </w:p>
    <w:tbl>
      <w:tblPr>
        <w:tblW w:w="6372" w:type="dxa"/>
        <w:jc w:val="left"/>
        <w:tblInd w:w="0" w:type="dxa"/>
        <w:tblLayout w:type="fixed"/>
        <w:tblCellMar>
          <w:top w:w="0" w:type="dxa"/>
          <w:left w:w="0" w:type="dxa"/>
          <w:bottom w:w="0" w:type="dxa"/>
          <w:right w:w="0" w:type="dxa"/>
        </w:tblCellMar>
      </w:tblPr>
      <w:tblGrid>
        <w:gridCol w:w="1231"/>
        <w:gridCol w:w="346"/>
        <w:gridCol w:w="196"/>
        <w:gridCol w:w="601"/>
        <w:gridCol w:w="109"/>
        <w:gridCol w:w="1471"/>
        <w:gridCol w:w="146"/>
        <w:gridCol w:w="1111"/>
        <w:gridCol w:w="109"/>
        <w:gridCol w:w="316"/>
        <w:gridCol w:w="736"/>
      </w:tblGrid>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Swapped</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Settlement</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Currency</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1"/>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Termination Date</w:t>
            </w:r>
          </w:p>
        </w:tc>
        <w:tc>
          <w:tcPr>
            <w:tcW w:w="1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Interest Rate</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Canadian dollar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October 1, 2028</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4.0900%</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54,776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Chinese yuan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30,000</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October 1, 2032</w:t>
            </w:r>
          </w:p>
        </w:tc>
        <w:tc>
          <w:tcPr>
            <w:tcW w:w="1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3.1125%</w:t>
            </w:r>
          </w:p>
        </w:tc>
        <w:tc>
          <w:tcPr>
            <w:tcW w:w="109"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215,640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Euro</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April 1, 2029</w:t>
            </w:r>
          </w:p>
        </w:tc>
        <w:tc>
          <w:tcPr>
            <w:tcW w:w="1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3.4610%</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74,509</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the first quarter of fiscal 2024, the Company early settled a euro net investment hedge entered in fiscal 2019, receiving proceeds of $2,711. These proceeds will remain in AOCI until the related subsidiaries are sold or substantially liquidated.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18" w:name="a16GUARANTEES_885957"/>
      <w:bookmarkEnd w:id="1718"/>
      <w:r>
        <w:rPr>
          <w:rFonts w:ascii="Times New Roman;Times;serif" w:hAnsi="Times New Roman;Times;serif"/>
          <w:b/>
          <w:sz w:val="20"/>
        </w:rPr>
        <w:t>(16) 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product warranty accrual represents management’s best estimate of the probable liabilities associated with its product warranties. The Company maintains specific reserves for identified product issues and general reserves based on historical claims experience for the remainder of the population. Specific reserves are established when a discrete warranty matter is identified that is expected to result in incremental costs beyond the historical experience rate.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719" w:name="Tc_V3zF5zSxpkiXw7grubHibw_9_5"/>
      <w:bookmarkStart w:id="1720" w:name="Tc_pMvSx9MpWEaCiTEVUYDWSg_9_2"/>
      <w:bookmarkStart w:id="1721" w:name="Tc_jwz3nIyKPUmAD7WH_Ur2OQ_9_0"/>
      <w:bookmarkStart w:id="1722" w:name="Tc_Oxf6fjhF50uTDpU4kjJcLw_8_0"/>
      <w:bookmarkStart w:id="1723" w:name="Tc_bSoKQucJ4EiquzaY1e-3_w_7_0"/>
      <w:bookmarkStart w:id="1724" w:name="Tc_lNswc9WD9ke4hJCK4FPspQ_6_0"/>
      <w:bookmarkStart w:id="1725" w:name="Tc_5SGMVGHhHUSe0Zh3mCzj7A_5_0"/>
      <w:bookmarkStart w:id="1726" w:name="Tc_PKOoK8ba9EKj_INE_cQx7g_4_5"/>
      <w:bookmarkStart w:id="1727" w:name="Tc_KnP0JjRs0E29Nqqq9we5HA_4_2"/>
      <w:bookmarkStart w:id="1728" w:name="Tc_8BhK0mrgekipW3y-gXBcHQ_4_0"/>
      <w:bookmarkStart w:id="1729" w:name="Tc_l7x8cKFkY0Ku43q9vnC_Hw_3_5"/>
      <w:bookmarkStart w:id="1730" w:name="Tc_SPoStpx5bESo_khRio7sEQ_3_2"/>
      <w:bookmarkStart w:id="1731" w:name="Tc_Rt1Nv7Bi1EysinF6giodKA_2_5"/>
      <w:bookmarkStart w:id="1732" w:name="Tc_bV-ftaEhOEW1VjILp2m7sQ_2_2"/>
      <w:bookmarkStart w:id="1733" w:name="Tc_wqp_bAc83Eiv2iVbY79ygA_1_2"/>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rPr>
          <w:rFonts w:ascii="Times New Roman;Times;serif" w:hAnsi="Times New Roman;Times;serif"/>
          <w:sz w:val="20"/>
        </w:rPr>
        <w:t>Historical claims data is used to estimate general warranty costs at the time revenue is recognized, while specific reserves are measured based on the expected cost of remediation for the identified issue.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Changes in the product warranty accrual, recorded in “Other accrued expenses” in the Consolidated Balance Sheets, for the fiscal years ended December 27, 2025 and December 28, 2024 were as follows:</w:t>
      </w:r>
    </w:p>
    <w:p>
      <w:pPr>
        <w:pStyle w:val="TextBody"/>
        <w:bidi w:val="0"/>
        <w:spacing w:before="0" w:after="0"/>
        <w:ind w:left="0" w:right="0" w:hanging="0"/>
        <w:jc w:val="left"/>
        <w:rPr/>
      </w:pPr>
      <w:r>
        <w:rPr/>
        <w:t>​</w:t>
      </w:r>
    </w:p>
    <w:tbl>
      <w:tblPr>
        <w:tblW w:w="6981" w:type="dxa"/>
        <w:jc w:val="left"/>
        <w:tblInd w:w="0" w:type="dxa"/>
        <w:tblLayout w:type="fixed"/>
        <w:tblCellMar>
          <w:top w:w="0" w:type="dxa"/>
          <w:left w:w="0" w:type="dxa"/>
          <w:bottom w:w="0" w:type="dxa"/>
          <w:right w:w="0" w:type="dxa"/>
        </w:tblCellMar>
      </w:tblPr>
      <w:tblGrid>
        <w:gridCol w:w="4201"/>
        <w:gridCol w:w="109"/>
        <w:gridCol w:w="243"/>
        <w:gridCol w:w="897"/>
        <w:gridCol w:w="346"/>
        <w:gridCol w:w="241"/>
        <w:gridCol w:w="944"/>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23,751</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22,434</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made</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(21,886)</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(20,790)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liability for warranties issued during the period</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24,167</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23,496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liability for pre-existing warranties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(697)</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Balance—end of period</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27,314</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23,751</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Warranty costs, recorded in “Product cost of sales” in the Consolidated Statements of Earnings, were $24,718, $22,804, and $19,495 for the fiscal years ended December 27, 2025, December 28, 2024, and December 30, 2023, respectively.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734" w:name="a17COMMITMENTSCONTINGENCIES_66612"/>
      <w:bookmarkEnd w:id="1734"/>
      <w:r>
        <w:rPr>
          <w:rFonts w:ascii="Times New Roman;Times;serif" w:hAnsi="Times New Roman;Times;serif"/>
          <w:b/>
          <w:sz w:val="20"/>
        </w:rPr>
        <w:t>(17) COMMITMENTS AND CONTINGENCIES</w:t>
      </w:r>
    </w:p>
    <w:p>
      <w:pPr>
        <w:pStyle w:val="TextBody"/>
        <w:bidi w:val="0"/>
        <w:spacing w:before="0" w:after="240"/>
        <w:ind w:left="0" w:right="0" w:firstLine="675"/>
        <w:jc w:val="left"/>
        <w:rPr>
          <w:rFonts w:ascii="Times New Roman;Times;serif" w:hAnsi="Times New Roman;Times;serif"/>
          <w:sz w:val="20"/>
        </w:rPr>
      </w:pPr>
      <w:r>
        <w:rPr>
          <w:rFonts w:ascii="Times New Roman;Times;serif" w:hAnsi="Times New Roman;Times;serif"/>
          <w:sz w:val="20"/>
        </w:rPr>
        <w:t>The Company and certain of its subsidiaries are subject to various legal proceedings, claims, and assessments arising in the normal course of business. It is difficult for the Company to fully assess the potential impact of both asserted and unasserted claims on its consolidated results of operations, financial condition, or liquidity. The Company records accruals for loss contingencies when such losses are considered probable and reasonably estimable.</w:t>
      </w:r>
    </w:p>
    <w:p>
      <w:pPr>
        <w:pStyle w:val="TextBody"/>
        <w:bidi w:val="0"/>
        <w:spacing w:before="0" w:after="240"/>
        <w:ind w:left="0" w:right="0" w:firstLine="675"/>
        <w:jc w:val="left"/>
        <w:rPr>
          <w:rFonts w:ascii="Times New Roman;Times;serif" w:hAnsi="Times New Roman;Times;serif"/>
          <w:sz w:val="20"/>
        </w:rPr>
      </w:pPr>
      <w:r>
        <w:rPr>
          <w:rFonts w:ascii="Times New Roman;Times;serif" w:hAnsi="Times New Roman;Times;serif"/>
          <w:sz w:val="20"/>
        </w:rPr>
        <w:t>The Company is involved in several litigation matters in Brazil related to its operations in the Agriculture market. During the fourth quarter of fiscal 2025, the Company received an unfavorable ruling in the Brazilian appellate court system, which required management to reassess its loss contingency under ASC 450. The Company is currently awaiting a motion for clarification related to the appellate court ruling, which is expected to be received in the first half of fiscal 2026. Following receipt of the clarification, the Company will evaluate available legal options, which may include pursuing a settlement or further appeals within the Brazilian court system.</w:t>
      </w:r>
    </w:p>
    <w:p>
      <w:pPr>
        <w:pStyle w:val="TextBody"/>
        <w:bidi w:val="0"/>
        <w:spacing w:before="0" w:after="240"/>
        <w:ind w:left="0" w:right="0" w:firstLine="675"/>
        <w:jc w:val="left"/>
        <w:rPr>
          <w:rFonts w:ascii="Times New Roman;Times;serif" w:hAnsi="Times New Roman;Times;serif"/>
          <w:sz w:val="20"/>
        </w:rPr>
      </w:pPr>
      <w:r>
        <w:rPr>
          <w:rFonts w:ascii="Times New Roman;Times;serif" w:hAnsi="Times New Roman;Times;serif"/>
          <w:sz w:val="20"/>
        </w:rPr>
        <w:t>As of December 27, 2025, the Company has accrued, in aggregate, approximately $24,165 related to the above matters, which is included in “Other accrued expenses” in the Consolidated Balance Sheets. The accrual reflects management’s best estimate of losses based on presently available information. The outcome of these matters cannot be predicted with certainty, and the final resolution could differ from the amount accrued. It is possible that the Company comes to a settlement agreement for an amount less than accrued and it is also possible that the motion of clarification results in incremental losses incurred by the Company. As such, the Company estimates that the ultimate resolution may adversely affect selling, general, and administrative expenses by up to an additional $10,000 in a future fiscal period, although no losses beyond the amount accrued are deemed probable at this time.</w:t>
      </w:r>
    </w:p>
    <w:p>
      <w:pPr>
        <w:pStyle w:val="TextBody"/>
        <w:bidi w:val="0"/>
        <w:spacing w:before="0" w:after="240"/>
        <w:ind w:left="0" w:right="0" w:firstLine="675"/>
        <w:jc w:val="left"/>
        <w:rPr>
          <w:rFonts w:ascii="Times New Roman;Times;serif" w:hAnsi="Times New Roman;Times;serif"/>
          <w:sz w:val="20"/>
        </w:rPr>
      </w:pPr>
      <w:r>
        <w:rPr>
          <w:rFonts w:ascii="Times New Roman;Times;serif" w:hAnsi="Times New Roman;Times;serif"/>
          <w:sz w:val="20"/>
        </w:rPr>
        <w:t>The Company continuously monitors developments in this matter and other legal proceedings and will adjust its accruals if and when additional information becomes available or circumstances change.</w:t>
      </w:r>
    </w:p>
    <w:p>
      <w:pPr>
        <w:pStyle w:val="TextBody"/>
        <w:bidi w:val="0"/>
        <w:spacing w:before="0" w:after="240"/>
        <w:ind w:left="0" w:right="0" w:firstLine="675"/>
        <w:jc w:val="left"/>
        <w:rPr>
          <w:rFonts w:ascii="Times New Roman;Times;serif" w:hAnsi="Times New Roman;Times;serif"/>
          <w:sz w:val="20"/>
        </w:rPr>
      </w:pPr>
      <w:r>
        <w:rPr>
          <w:rFonts w:ascii="Times New Roman;Times;serif" w:hAnsi="Times New Roman;Times;serif"/>
          <w:sz w:val="20"/>
        </w:rPr>
        <w:t>Subsequent to the fourth quarter of fiscal 2025, in February 2026, the Company received an inquiry from U.S. Customs and Border Protection (“CBP”) related to the valuation methodology applied to steel tariffs from Mexico into the U.S. The inquiry is ongoing and there has been no final determination as of the date of issuance of these Consolidated Financial Statements. Based on management’s assessment of the facts and circumstances currently available, including the Company’s understanding of current CBP guidance, management does not believe a loss is probable or reasonably estimable as of December 27, 2025, and accordingly no accrual has been recorded.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675"/>
        <w:jc w:val="left"/>
        <w:rPr>
          <w:rFonts w:ascii="Times New Roman;Times;serif" w:hAnsi="Times New Roman;Times;serif"/>
          <w:sz w:val="20"/>
        </w:rPr>
      </w:pPr>
      <w:r>
        <w:rPr>
          <w:rFonts w:ascii="Times New Roman;Times;serif" w:hAnsi="Times New Roman;Times;serif"/>
          <w:sz w:val="20"/>
        </w:rPr>
        <w:t>At this time, the Company does not expect that any known lawsuits, claims, environmental costs, commitments, or contingent liabilities will have a material adverse effect on its consolidated results of operations, financial condition, or liquidity.</w:t>
      </w:r>
    </w:p>
    <w:p>
      <w:pPr>
        <w:pStyle w:val="TextBody"/>
        <w:bidi w:val="0"/>
        <w:spacing w:before="0" w:after="0"/>
        <w:ind w:left="0" w:right="0" w:hanging="0"/>
        <w:jc w:val="left"/>
        <w:rPr>
          <w:rFonts w:ascii="Times New Roman;Times;serif" w:hAnsi="Times New Roman;Times;serif"/>
          <w:b w:val="false"/>
          <w:sz w:val="2"/>
        </w:rPr>
      </w:pPr>
      <w:bookmarkStart w:id="1735" w:name="Tc_aP3RCXGRt0eEKMwujX672g_11_8"/>
      <w:bookmarkStart w:id="1736" w:name="Tc_s9CQD9HtiUe3m4yrFbeq7g_11_5"/>
      <w:bookmarkStart w:id="1737" w:name="Tc_dBuOOt8jKEGUieulfiklNg_11_2"/>
      <w:bookmarkStart w:id="1738" w:name="Tc_EidcJJxxy0GmKE_WrVLgLg_11_0"/>
      <w:bookmarkStart w:id="1739" w:name="Tc_Zg1Z7eLYe0u0NEF7A2G2kQ_10_0"/>
      <w:bookmarkStart w:id="1740" w:name="Tc_jOkkqgg8MkKzFJXGrHGd2Q_9_6"/>
      <w:bookmarkStart w:id="1741" w:name="Tc_82kiBreIVUea3QznL6VMHA_9_0"/>
      <w:bookmarkStart w:id="1742" w:name="Tc_SaPCi4AbVUSECush9o7AZw_8_0"/>
      <w:bookmarkStart w:id="1743" w:name="Tc_NKcDL77KNUSYQpZVmcRMFQ_7_3"/>
      <w:bookmarkStart w:id="1744" w:name="Tc_VrKz9jm9NESC8GPjiJtYVg_7_0"/>
      <w:bookmarkStart w:id="1745" w:name="Tc_9XvbM1QkS0GcT0QdNP3YgQ_6_6"/>
      <w:bookmarkStart w:id="1746" w:name="Tc_ZqRcgmfj-kGFuW8Xl4rm4Q_6_0"/>
      <w:bookmarkStart w:id="1747" w:name="Tc_SbCO68eYD0mhLvGhcGCUug_5_3"/>
      <w:bookmarkStart w:id="1748" w:name="Tc_zst6mRL3EkSHreWhyqOu_w_5_0"/>
      <w:bookmarkStart w:id="1749" w:name="Tc_Yh4wv98iBkOj5OPAO1WzzA_4_8"/>
      <w:bookmarkStart w:id="1750" w:name="Tc_4ujRKp9Y7kaM5PvFjTOqlg_4_5"/>
      <w:bookmarkStart w:id="1751" w:name="Tc_WxdMwrgP1ECAV_VZsJeyAA_4_2"/>
      <w:bookmarkStart w:id="1752" w:name="Tc_LwMqAl4yT0qvRoXPbvvTyA_4_0"/>
      <w:bookmarkStart w:id="1753" w:name="Tc_gGIVk18E-ESG6xqEtuRjBg_3_8"/>
      <w:bookmarkStart w:id="1754" w:name="Tc_ycHRNVoTC0-Z-89ge9a2ag_3_5"/>
      <w:bookmarkStart w:id="1755" w:name="Tc_t7Ty1wfo70-GUgL-oPmoYA_3_2"/>
      <w:bookmarkStart w:id="1756" w:name="Tc_kt22py75uEWiIC49t5x9cQ_2_8"/>
      <w:bookmarkStart w:id="1757" w:name="Tc_u3e3fMh3tkayAafSjXNq-w_2_5"/>
      <w:bookmarkStart w:id="1758" w:name="Tc_9yS9m-WxQUWukbuu_qt5tg_2_2"/>
      <w:bookmarkStart w:id="1759" w:name="Tc__mHQiEuP_Ueg1CuP9igEMw_1_2"/>
      <w:bookmarkStart w:id="1760" w:name="_9a0ab230_5f90_44e0_9224_c482399c72a7"/>
      <w:bookmarkStart w:id="1761" w:name="Tc_1aO5qVFYj0CRBmu1r9VBFw_11_8"/>
      <w:bookmarkStart w:id="1762" w:name="Tc_v3QWaun75UqylUY7xxzK4g_11_5"/>
      <w:bookmarkStart w:id="1763" w:name="Tc_Z3bm7w252UaLA6TkLCzHQA_11_2"/>
      <w:bookmarkStart w:id="1764" w:name="Tc_pzSHL5rLk02npgzatSVbig_11_0"/>
      <w:bookmarkStart w:id="1765" w:name="Tc_HNLNWDaRd0GFx3BUmRfsYA_10_0"/>
      <w:bookmarkStart w:id="1766" w:name="Tc_FmwckHKZ8U2w4Y03TBKarA_9_6"/>
      <w:bookmarkStart w:id="1767" w:name="Tc_GPs-0EVpQUGwJK3UbFVUcA_9_0"/>
      <w:bookmarkStart w:id="1768" w:name="Tc_LlIQXi1hyUmyD2hpCWUrDA_8_0"/>
      <w:bookmarkStart w:id="1769" w:name="Tc_sSZDhRNzQ0yI8efREkPnEg_7_3"/>
      <w:bookmarkStart w:id="1770" w:name="Tc_1N-kPfdQFU6mJ9bZaFquZA_7_0"/>
      <w:bookmarkStart w:id="1771" w:name="Tc_rlEqmp5TdUq8gOXo9f96Dw_6_6"/>
      <w:bookmarkStart w:id="1772" w:name="Tc_ecaA55tumkWfzCYjjkSt3A_6_0"/>
      <w:bookmarkStart w:id="1773" w:name="Tc_cW5Mg4KzfEmzebtrstXvxQ_5_3"/>
      <w:bookmarkStart w:id="1774" w:name="Tc_NDQEOVkE4UGWeoOw4nMjPg_5_0"/>
      <w:bookmarkStart w:id="1775" w:name="Tc_NKSQBatPEU-_JmKzf26Ltw_4_8"/>
      <w:bookmarkStart w:id="1776" w:name="Tc_bIUelAm2zEW7GjHHvZ9R6Q_4_5"/>
      <w:bookmarkStart w:id="1777" w:name="Tc_rt7M9Kdhc0eiM6eSI7RyVw_4_2"/>
      <w:bookmarkStart w:id="1778" w:name="Tc_F9RW3JCDi069p2b3xL1z6A_4_0"/>
      <w:bookmarkStart w:id="1779" w:name="Tc_A0BXzy6zI0K9lhB9s_EbvA_3_8"/>
      <w:bookmarkStart w:id="1780" w:name="Tc_aOIF_TYj20iNABLbjoAyiQ_3_5"/>
      <w:bookmarkStart w:id="1781" w:name="Tc_O9GEfatvb0KURWSVINuvSA_3_2"/>
      <w:bookmarkStart w:id="1782" w:name="Tc_cLE-DjDbTkabbuq3N0WzwQ_2_8"/>
      <w:bookmarkStart w:id="1783" w:name="Tc_X_l2I2haN06emaHzCRjKZA_2_5"/>
      <w:bookmarkStart w:id="1784" w:name="Tc_ss-lCzAhB0y2EtD5C8OiPQ_2_2"/>
      <w:bookmarkStart w:id="1785" w:name="Tc_gQ1skDzLckyhkvQI7sU8yQ_1_2"/>
      <w:bookmarkStart w:id="1786" w:name="_6bba135f_e3f5_4a2f_ab91_738174d88849"/>
      <w:bookmarkStart w:id="1787" w:name="a18DEFINEDBENEFITRETIREMENTPLAN_447361"/>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b w:val="false"/>
          <w:sz w:val="2"/>
        </w:rPr>
        <w:t>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DEFINED BENEFIT RETIREMENT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Delta Ltd., a wholly owned subsidiary of the Company, sponsors the Delta Pension Plan (the “Plan”), which provides defined benefit retirement income to eligible employees in the United Kingdom (“U.K.”). Qualified employees are entitled to pension retirement benefits amounting to 1.67% of final salary for each year of service upon reaching the age of 65. There have been no active employees participating in the Plan for over five years.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Funded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pension plan’s funded status as either an asset or liability. This status reflects the difference between the projected benefit obligation (“PBO”) and the fair value of the plan’s assets. The PBO represents the present value of benefits earned by participants to date, factoring in assumed inflation. Plan assets are measured at fair value, and because the Plan is denominated in British pounds, the Company translates the net pension asset into U.S. dollars using exchange rates of $1.349/£ and $1.257/£ as of December 27, 2025 and December 28, 2024, respectively. As of December 27, 2025, the net funded status was $39,666 recorded as “Defined benefit pension asset”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accumulated benefit obligation (“ABO”), representing the present value of benefits earned to date without assuming future compensation growth, is equal to the PBO due to the absence of active employees in the plan. The overfunded ABO represents the difference between the PBO and the fair value of the plan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Changes in the PBO and fair value of plan assets for the period from December 28, 2024 to December 27, 2025 were as follows:</w:t>
      </w:r>
    </w:p>
    <w:tbl>
      <w:tblPr>
        <w:tblW w:w="6460" w:type="dxa"/>
        <w:jc w:val="left"/>
        <w:tblInd w:w="0" w:type="dxa"/>
        <w:tblLayout w:type="fixed"/>
        <w:tblCellMar>
          <w:top w:w="0" w:type="dxa"/>
          <w:left w:w="0" w:type="dxa"/>
          <w:bottom w:w="0" w:type="dxa"/>
          <w:right w:w="0" w:type="dxa"/>
        </w:tblCellMar>
      </w:tblPr>
      <w:tblGrid>
        <w:gridCol w:w="2656"/>
        <w:gridCol w:w="346"/>
        <w:gridCol w:w="196"/>
        <w:gridCol w:w="721"/>
        <w:gridCol w:w="346"/>
        <w:gridCol w:w="196"/>
        <w:gridCol w:w="721"/>
        <w:gridCol w:w="346"/>
        <w:gridCol w:w="226"/>
        <w:gridCol w:w="706"/>
      </w:tblGrid>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Projected</w:t>
            </w: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Benefit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Plan</w:t>
            </w: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Funded</w:t>
            </w:r>
            <w:r>
              <w:rPr>
                <w:rFonts w:ascii="Times New Roman;Times;serif" w:hAnsi="Times New Roman;Times;serif"/>
                <w:sz w:val="18"/>
              </w:rPr>
              <w:t> </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Obligation</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Status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as of December 28, 2024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414,657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461,177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46,520</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Employer contributions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  ​</w:t>
            </w:r>
          </w:p>
        </w:tc>
        <w:tc>
          <w:tcPr>
            <w:tcW w:w="706" w:type="dxa"/>
            <w:tcBorders/>
            <w:vAlign w:val="center"/>
          </w:tcPr>
          <w:p>
            <w:pPr>
              <w:pStyle w:val="TableContents"/>
              <w:bidi w:val="0"/>
              <w:spacing w:before="0" w:after="1"/>
              <w:ind w:left="0" w:right="0" w:hanging="0"/>
              <w:jc w:val="center"/>
              <w:rPr/>
            </w:pPr>
            <w:r>
              <w:rPr/>
              <w:t>​</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cost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22,243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Actual return on plan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Benefits paid</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Actuarial loss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Currency translation gain</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33,446</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as of December 27, 2025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444,822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484,488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39,666</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Changes in the PBO and fair value of plan assets for the period from December 30, 2023 to December 28, 2024 were as follows:</w:t>
      </w:r>
    </w:p>
    <w:tbl>
      <w:tblPr>
        <w:tblW w:w="6460" w:type="dxa"/>
        <w:jc w:val="left"/>
        <w:tblInd w:w="0" w:type="dxa"/>
        <w:tblLayout w:type="fixed"/>
        <w:tblCellMar>
          <w:top w:w="0" w:type="dxa"/>
          <w:left w:w="0" w:type="dxa"/>
          <w:bottom w:w="0" w:type="dxa"/>
          <w:right w:w="0" w:type="dxa"/>
        </w:tblCellMar>
      </w:tblPr>
      <w:tblGrid>
        <w:gridCol w:w="2656"/>
        <w:gridCol w:w="346"/>
        <w:gridCol w:w="196"/>
        <w:gridCol w:w="721"/>
        <w:gridCol w:w="346"/>
        <w:gridCol w:w="196"/>
        <w:gridCol w:w="721"/>
        <w:gridCol w:w="346"/>
        <w:gridCol w:w="226"/>
        <w:gridCol w:w="706"/>
      </w:tblGrid>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Projected</w:t>
            </w: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Benefit </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Plan</w:t>
            </w: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Funded </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Obligation</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Status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as of December 30, 2023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477,763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493,167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15,404</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Employer contributions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19,599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  ​</w:t>
            </w:r>
          </w:p>
        </w:tc>
        <w:tc>
          <w:tcPr>
            <w:tcW w:w="706" w:type="dxa"/>
            <w:tcBorders/>
            <w:vAlign w:val="center"/>
          </w:tcPr>
          <w:p>
            <w:pPr>
              <w:pStyle w:val="TableContents"/>
              <w:bidi w:val="0"/>
              <w:spacing w:before="0" w:after="1"/>
              <w:ind w:left="0" w:right="0" w:hanging="0"/>
              <w:jc w:val="center"/>
              <w:rPr/>
            </w:pPr>
            <w:r>
              <w:rPr/>
              <w:t>​</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cost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Actual return on plan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Benefits paid</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(21,264)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(21,264)</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Actuarial gain</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(58,156)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Currency translation loss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(5,602)</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as of December 28, 2024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414,657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461,177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46,520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788" w:name="Tc_V6sIcqdkBkKF2ChYPt8B5Q_8_5"/>
      <w:bookmarkStart w:id="1789" w:name="Tc_uLKFr79nrUy58C7RJp170A_8_2"/>
      <w:bookmarkStart w:id="1790" w:name="Tc_fpmyMT6TnUaFe2uRgBvIkg_7_0"/>
      <w:bookmarkStart w:id="1791" w:name="Tc_o30KVKCAE0SsU1Rrr8peUw_6_0"/>
      <w:bookmarkStart w:id="1792" w:name="Tc_xI300H6-j0ut0I11TDQOig_4_5"/>
      <w:bookmarkStart w:id="1793" w:name="Tc_Y2zjBbZ7f0K7O4OyC8YX8Q_4_2"/>
      <w:bookmarkStart w:id="1794" w:name="Tc_QoAuGeSGHU-de2Db42LtDA_3_5"/>
      <w:bookmarkStart w:id="1795" w:name="Tc_v3LiuKijmk6x0Ea8ct8mYA_3_2"/>
      <w:bookmarkStart w:id="1796" w:name="Tc_v5IwdZRrhkCbGdcS1hKNhQ_2_5"/>
      <w:bookmarkStart w:id="1797" w:name="Tc_mV2cDSmK90CeijD2Nna6Jg_2_2"/>
      <w:bookmarkStart w:id="1798" w:name="Tc_deuWW1VhyUK31BU-hK-i_A_1_2"/>
      <w:bookmarkStart w:id="1799" w:name="Tc_Vb-ZbfLXu0Cq6075DYRE8A_5_6"/>
      <w:bookmarkStart w:id="1800" w:name="Tc_oEPHwyJAUE2tnWPEBg-WBQ_5_3"/>
      <w:bookmarkStart w:id="1801" w:name="Tc_76OZKIOyKEaQav2u-VEgUA_5_0"/>
      <w:bookmarkStart w:id="1802" w:name="Tc_RlrEZ6pegUGclFUf18mQAw_4_6"/>
      <w:bookmarkStart w:id="1803" w:name="Tc_Uws5ZgHwk0SZ6Hbs0Vke1g_4_3"/>
      <w:bookmarkStart w:id="1804" w:name="Tc_49WhzHC2iUe_s6bgOf0qeg_4_0"/>
      <w:bookmarkStart w:id="1805" w:name="Tc_tdRI4jgKZESrXxcnVnoYOQ_3_6"/>
      <w:bookmarkStart w:id="1806" w:name="Tc_7Hx8dLj0M0Oa6am-iSHNlQ_3_3"/>
      <w:bookmarkStart w:id="1807" w:name="Tc_ZnwGQXZL-EuF8oNrwbnO-g_3_0"/>
      <w:bookmarkStart w:id="1808" w:name="Tc_XEmp9nxtbUSfCMjquqPuqg_2_5"/>
      <w:bookmarkStart w:id="1809" w:name="Tc_Z0kO8r-040KyeIdFNYlodg_2_2"/>
      <w:bookmarkStart w:id="1810" w:name="Tc_epcAqc9OsU628zKTvV3UTg_1_5"/>
      <w:bookmarkStart w:id="1811" w:name="Tc_9I-_O7QnSUGQ9Ap2JWl4ig_1_2"/>
      <w:bookmarkStart w:id="1812" w:name="Tc_4UI4bKnnWECoCP5iwGfP4g_11_2"/>
      <w:bookmarkStart w:id="1813" w:name="Tc_CYqpet9-5UGclChl8EG8_g_11_0"/>
      <w:bookmarkStart w:id="1814" w:name="Tc_F67AHTbxCkurjmDBOICQoQ_10_0"/>
      <w:bookmarkStart w:id="1815" w:name="Tc_68Oc0jydrkePsECZG7Tiuw_9_0"/>
      <w:bookmarkStart w:id="1816" w:name="Tc_ndpu5K4naE2L28lShW01Ww_8_0"/>
      <w:bookmarkStart w:id="1817" w:name="Tc_5JO9rc_rKkGwZbOquwQyEw_7_0"/>
      <w:bookmarkStart w:id="1818" w:name="Tc_dNb26N4fBUOywurtZvEjYQ_6_0"/>
      <w:bookmarkStart w:id="1819" w:name="Tc_KanomhRH6UGAiZgF1np3Xg_5_0"/>
      <w:bookmarkStart w:id="1820" w:name="Tc_DtptsQakk0qb7tSY1xX2lA_4_0"/>
      <w:bookmarkStart w:id="1821" w:name="Tc_R383Ys_-N0qej5SKN-_9Sw_3_0"/>
      <w:bookmarkStart w:id="1822" w:name="Tc_0rZQV8S_vUmIeY3RkzDZDg_2_0"/>
      <w:bookmarkStart w:id="1823" w:name="Tc_TgRbQj_nCkWeZ_aVv2XJZQ_1_2"/>
      <w:bookmarkStart w:id="1824" w:name="Tc_nw5QSCpb2E-LaiAU6tXteQ_1_0"/>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r>
        <w:rPr>
          <w:rFonts w:ascii="Times New Roman;Times;serif" w:hAnsi="Times New Roman;Times;serif"/>
          <w:sz w:val="20"/>
        </w:rPr>
        <w:t>The actuarial gain decreased the PBO and resulted primarily from an increase in the discount rate from 4.50% in fiscal 2023 to 5.50% in fiscal 2024.</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pre-tax amounts recognized in AOCI as of December 27, 2025 and December 28, 2024 included actuarial gains (losses), as follows:</w:t>
      </w:r>
    </w:p>
    <w:p>
      <w:pPr>
        <w:pStyle w:val="TextBody"/>
        <w:bidi w:val="0"/>
        <w:spacing w:before="0" w:after="0"/>
        <w:ind w:left="0" w:right="0" w:hanging="0"/>
        <w:jc w:val="left"/>
        <w:rPr/>
      </w:pPr>
      <w:r>
        <w:rPr/>
        <w:t>​</w:t>
      </w:r>
    </w:p>
    <w:tbl>
      <w:tblPr>
        <w:tblW w:w="3889" w:type="dxa"/>
        <w:jc w:val="left"/>
        <w:tblInd w:w="0" w:type="dxa"/>
        <w:tblLayout w:type="fixed"/>
        <w:tblCellMar>
          <w:top w:w="0" w:type="dxa"/>
          <w:left w:w="0" w:type="dxa"/>
          <w:bottom w:w="0" w:type="dxa"/>
          <w:right w:w="0" w:type="dxa"/>
        </w:tblCellMar>
      </w:tblPr>
      <w:tblGrid>
        <w:gridCol w:w="2581"/>
        <w:gridCol w:w="346"/>
        <w:gridCol w:w="196"/>
        <w:gridCol w:w="766"/>
      </w:tblGrid>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December 30, 2023</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(89,151)</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Actuarial gain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10,888</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prior service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net actuarial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1,537</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Currency translation gain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862</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December 28, 2024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(75,352)</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Actuarial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(13,952)</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prior service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net actuarial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1,316</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Currency translation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(5,809)</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(93,271)</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weighted-average actuarial assumptions used to determine the benefit obligation as of December 27, 2025 and December 28, 2024 were as follows:</w:t>
      </w:r>
    </w:p>
    <w:p>
      <w:pPr>
        <w:pStyle w:val="TextBody"/>
        <w:bidi w:val="0"/>
        <w:spacing w:before="0" w:after="0"/>
        <w:ind w:left="0" w:right="0" w:hanging="0"/>
        <w:jc w:val="left"/>
        <w:rPr/>
      </w:pPr>
      <w:r>
        <w:rPr/>
        <w:t>​</w:t>
      </w:r>
    </w:p>
    <w:tbl>
      <w:tblPr>
        <w:tblW w:w="5958" w:type="dxa"/>
        <w:jc w:val="left"/>
        <w:tblInd w:w="0" w:type="dxa"/>
        <w:tblLayout w:type="fixed"/>
        <w:tblCellMar>
          <w:top w:w="0" w:type="dxa"/>
          <w:left w:w="0" w:type="dxa"/>
          <w:bottom w:w="0" w:type="dxa"/>
          <w:right w:w="0" w:type="dxa"/>
        </w:tblCellMar>
      </w:tblPr>
      <w:tblGrid>
        <w:gridCol w:w="2941"/>
        <w:gridCol w:w="346"/>
        <w:gridCol w:w="626"/>
        <w:gridCol w:w="514"/>
        <w:gridCol w:w="346"/>
        <w:gridCol w:w="691"/>
        <w:gridCol w:w="494"/>
      </w:tblGrid>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Price Index ("CPI") inflation</w:t>
            </w:r>
          </w:p>
        </w:tc>
        <w:tc>
          <w:tcPr>
            <w:tcW w:w="346"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w:t>
            </w:r>
          </w:p>
        </w:tc>
        <w:tc>
          <w:tcPr>
            <w:tcW w:w="5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Retail Price Index ("RPI") inflation</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Cost (Benefit)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pension cost (benefit) is determined based on the annual service cost (the actuarial cost of benefits earned during the period) and the interest cost on those liabilities, adjusted for the expected return on plan assets. The interest cost is calculated using the full yield curve approach, applying specific spot rates along the yield curve to estimate the present value of the pension obligations relevant to cash outflows for the corresponding year. The expected long-term rate of return on plan assets is applied to the fair value of plan assets for the corresponding year. Differences between actual experience and assumptions are not recognized in net earnings immediately; instead, they are deferred and, if necessary, amortized as pension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the net periodic pension cost for the fiscal years ended December 27, 2025 and December 28, 2024 were as follows:</w:t>
      </w:r>
    </w:p>
    <w:p>
      <w:pPr>
        <w:pStyle w:val="TextBody"/>
        <w:bidi w:val="0"/>
        <w:spacing w:before="0" w:after="0"/>
        <w:ind w:left="0" w:right="0" w:hanging="0"/>
        <w:jc w:val="left"/>
        <w:rPr/>
      </w:pPr>
      <w:r>
        <w:rPr/>
        <w:t>​</w:t>
      </w:r>
    </w:p>
    <w:tbl>
      <w:tblPr>
        <w:tblW w:w="5361" w:type="dxa"/>
        <w:jc w:val="left"/>
        <w:tblInd w:w="0" w:type="dxa"/>
        <w:tblLayout w:type="fixed"/>
        <w:tblCellMar>
          <w:top w:w="0" w:type="dxa"/>
          <w:left w:w="0" w:type="dxa"/>
          <w:bottom w:w="0" w:type="dxa"/>
          <w:right w:w="0" w:type="dxa"/>
        </w:tblCellMar>
      </w:tblPr>
      <w:tblGrid>
        <w:gridCol w:w="2581"/>
        <w:gridCol w:w="109"/>
        <w:gridCol w:w="243"/>
        <w:gridCol w:w="897"/>
        <w:gridCol w:w="346"/>
        <w:gridCol w:w="241"/>
        <w:gridCol w:w="944"/>
      </w:tblGrid>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25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cost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22,243</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21,136</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Expected return on plan assets</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(23,033)</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(22,545)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prior service costs</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net actuarial loss</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1,316</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1,537</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periodic pension cost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1,052</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640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825" w:name="Tc_LjbT6VeDV0at4ngVCba_6w_6_0"/>
      <w:bookmarkStart w:id="1826" w:name="Tc_M0aj62MIhUaYyJ_4cVSmfw_5_0"/>
      <w:bookmarkStart w:id="1827" w:name="Tc_Ua0XG8TpukiN5onLzaDkig_4_0"/>
      <w:bookmarkStart w:id="1828" w:name="Tc_rp40hDBuLECYOlkGfIcxjA_3_0"/>
      <w:bookmarkStart w:id="1829" w:name="Tc_X6CxzBb4bUWnhCh73zJO2g_2_0"/>
      <w:bookmarkStart w:id="1830" w:name="Tc_0gC1jTRAmEiUcQc48eRGWA_1_2"/>
      <w:bookmarkStart w:id="1831" w:name="Tc_7HvA_G0xUkmfm5zQXJXaGw_1_0"/>
      <w:bookmarkStart w:id="1832" w:name="_e7471d89_b181_400e_b571_8bf58ff578a9"/>
      <w:bookmarkStart w:id="1833" w:name="Tc_EkIqJfP-Yk23bHZhVVZTUw_7_6"/>
      <w:bookmarkStart w:id="1834" w:name="Tc_qWb5WdYCOEuy2nCJMj05IA_7_3"/>
      <w:bookmarkStart w:id="1835" w:name="Tc_yJlSkNoBMkmwURu4LfN_Xg_7_0"/>
      <w:bookmarkStart w:id="1836" w:name="Tc_wkt2eAEaY0OnfBx3zWVLeA_6_6"/>
      <w:bookmarkStart w:id="1837" w:name="Tc_vqduMByt80-GeUgfGUCebA_6_3"/>
      <w:bookmarkStart w:id="1838" w:name="Tc_eHI-kWHVaEaGXDmj6WjZDQ_6_0"/>
      <w:bookmarkStart w:id="1839" w:name="Tc_hXXzkb6DSEWls41mSFgY5Q_5_6"/>
      <w:bookmarkStart w:id="1840" w:name="Tc_OVSjlvQRO0KdPOQe4S_VeQ_5_3"/>
      <w:bookmarkStart w:id="1841" w:name="Tc_bkWoDzEN_ke17tNB-kHUDQ_5_0"/>
      <w:bookmarkStart w:id="1842" w:name="Tc_TRUtUF4QcUKYITL9_3k8iQ_4_6"/>
      <w:bookmarkStart w:id="1843" w:name="Tc_0GFdC3clZ0OJe_TFFlwtJg_4_3"/>
      <w:bookmarkStart w:id="1844" w:name="Tc_bI_dI-vAeECo3DxeD8Dlmg_4_0"/>
      <w:bookmarkStart w:id="1845" w:name="Tc_QB1LGAu3mUOqU4CE0InJBw_3_6"/>
      <w:bookmarkStart w:id="1846" w:name="Tc_P_gGQbb90kSALJ5FwBImqQ_3_3"/>
      <w:bookmarkStart w:id="1847" w:name="Tc_DcYV2dN9okOQEErez5-YOQ_3_0"/>
      <w:bookmarkStart w:id="1848" w:name="Tc_SInrzwNm7EO6NeYgXVQ2jg_2_5"/>
      <w:bookmarkStart w:id="1849" w:name="Tc_q2Ovod5s402wvItonMfc4g_2_2"/>
      <w:bookmarkStart w:id="1850" w:name="Tc_c7geRMzvGEuBnHk-NW2kUw_1_5"/>
      <w:bookmarkStart w:id="1851" w:name="Tc_3nEnc8spRkSKN8mg5ODCEg_1_2"/>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r>
        <w:rPr>
          <w:rFonts w:ascii="Times New Roman;Times;serif" w:hAnsi="Times New Roman;Times;serif"/>
          <w:sz w:val="20"/>
        </w:rPr>
        <w:t>For the fiscal years ended December 27, 2025 and December 28, 2024, the weighted-average actuarial assumptions used to determine the net periodic pension cost were:</w:t>
      </w:r>
    </w:p>
    <w:p>
      <w:pPr>
        <w:pStyle w:val="TextBody"/>
        <w:bidi w:val="0"/>
        <w:spacing w:before="0" w:after="0"/>
        <w:ind w:left="0" w:right="0" w:hanging="0"/>
        <w:jc w:val="left"/>
        <w:rPr/>
      </w:pPr>
      <w:r>
        <w:rPr/>
        <w:t>​</w:t>
      </w:r>
    </w:p>
    <w:tbl>
      <w:tblPr>
        <w:tblW w:w="5688" w:type="dxa"/>
        <w:jc w:val="left"/>
        <w:tblInd w:w="0" w:type="dxa"/>
        <w:tblLayout w:type="fixed"/>
        <w:tblCellMar>
          <w:top w:w="0" w:type="dxa"/>
          <w:left w:w="0" w:type="dxa"/>
          <w:bottom w:w="0" w:type="dxa"/>
          <w:right w:w="0" w:type="dxa"/>
        </w:tblCellMar>
      </w:tblPr>
      <w:tblGrid>
        <w:gridCol w:w="2671"/>
        <w:gridCol w:w="346"/>
        <w:gridCol w:w="626"/>
        <w:gridCol w:w="514"/>
        <w:gridCol w:w="346"/>
        <w:gridCol w:w="691"/>
        <w:gridCol w:w="494"/>
      </w:tblGrid>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Discount rate for benefit obligations</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Discount rate for interest cost</w:t>
            </w:r>
          </w:p>
        </w:tc>
        <w:tc>
          <w:tcPr>
            <w:tcW w:w="346"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w:t>
            </w:r>
          </w:p>
        </w:tc>
        <w:tc>
          <w:tcPr>
            <w:tcW w:w="5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return on plan assets</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CPI inflation</w:t>
            </w:r>
          </w:p>
        </w:tc>
        <w:tc>
          <w:tcPr>
            <w:tcW w:w="346"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5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RPI inflation</w:t>
            </w:r>
          </w:p>
        </w:tc>
        <w:tc>
          <w:tcPr>
            <w:tcW w:w="346"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5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discount rate is based on the yields of AA-rated corporate bonds with maturities similar to the pension liabilities. The expected return on plan assets considers the asset allocation mix and historical returns, factoring in current and anticipated market conditions. Inflation estimates are based on expected changes in the U.K.’s CPI or RPI, depending on the relevant plan provisions.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Cash Contributions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fiscal 2025, the Company completed negotiations with Plan trustees regarding annual funding. The annual contributions to the Plan are approximately £4,000 ($5,200) as part of the Plan’s recovery plan, depending on the Plan’s funding levels, plus approximately £2,400 ($3,200) annually for administrative costs. In fiscal 2025, given the Plan’s funded status, the Company was only required to make cash contributions for administrative costs.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Benefit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expected pension benefit payments for the fiscal years 2026 through 2035 are as follows:</w:t>
      </w:r>
    </w:p>
    <w:tbl>
      <w:tblPr>
        <w:tblW w:w="2359" w:type="dxa"/>
        <w:jc w:val="left"/>
        <w:tblInd w:w="0" w:type="dxa"/>
        <w:tblLayout w:type="fixed"/>
        <w:tblCellMar>
          <w:top w:w="0" w:type="dxa"/>
          <w:left w:w="0" w:type="dxa"/>
          <w:bottom w:w="0" w:type="dxa"/>
          <w:right w:w="0" w:type="dxa"/>
        </w:tblCellMar>
      </w:tblPr>
      <w:tblGrid>
        <w:gridCol w:w="1021"/>
        <w:gridCol w:w="346"/>
        <w:gridCol w:w="196"/>
        <w:gridCol w:w="796"/>
      </w:tblGrid>
      <w:tr>
        <w:trPr/>
        <w:tc>
          <w:tcPr>
            <w:tcW w:w="1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05460" cy="175260"/>
                      <wp:effectExtent l="0" t="0" r="0" b="0"/>
                      <wp:wrapNone/>
                      <wp:docPr id="50" name="Frame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25,229</w:t>
            </w:r>
          </w:p>
        </w:tc>
      </w:tr>
      <w:tr>
        <w:trPr/>
        <w:tc>
          <w:tcPr>
            <w:tcW w:w="1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26,039</w:t>
            </w:r>
          </w:p>
        </w:tc>
      </w:tr>
      <w:tr>
        <w:trPr/>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26,848</w:t>
            </w:r>
          </w:p>
        </w:tc>
      </w:tr>
      <w:tr>
        <w:trPr/>
        <w:tc>
          <w:tcPr>
            <w:tcW w:w="1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27,658</w:t>
            </w:r>
          </w:p>
        </w:tc>
      </w:tr>
      <w:tr>
        <w:trPr/>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28,468</w:t>
            </w:r>
          </w:p>
        </w:tc>
      </w:tr>
      <w:tr>
        <w:trPr/>
        <w:tc>
          <w:tcPr>
            <w:tcW w:w="1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2031 – 2035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155,829</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b/>
          <w:i/>
          <w:sz w:val="20"/>
        </w:rPr>
      </w:pPr>
      <w:r>
        <w:rPr>
          <w:rFonts w:ascii="Times New Roman;Times;serif" w:hAnsi="Times New Roman;Times;serif"/>
          <w:b/>
          <w:i/>
          <w:sz w:val="20"/>
        </w:rPr>
        <w:t>Asset Allocation 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investment strategy for the pension plan assets is designed to balance long-term return objectives with management of interest rate and inflation risk, taking into account the Plan’s funding position, liquidity needs, and long-term objectives. The strategy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Growth-oriented investments, with higher overall returns targeted through allocations to growth assets, including global equities, as part of the Plan’s long-term investment strategy;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Liability-matching and risk-management investments, including liability-driven investment strategies, insurance buy-in contracts, U.K. gilts, and cash, intended to hedge interest rate and inflation risks and support the payment of benefits as they become due.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U.K. law, the Plan has an independent trustee responsible for setting and overseeing the investment policy, in consultation with the Plan sponsor and independent advisors. Actual asset allocations may vary over time based on market conditions, funding levels, liquidity considerations, and progress toward the Plan’s long-term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pension plan investments are held in a trust, and as of December 27, 2025, the weighted-average maturity of the corporate bond portfolio was 12 years.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1852" w:name="_578ff1c5_6372_4352_a680_4e7812e0d2b0"/>
      <w:bookmarkStart w:id="1853" w:name="Tc_NILTUsfJ9U-_Y3Rg_qB7Bg_11_11"/>
      <w:bookmarkStart w:id="1854" w:name="Tc_c4_ygQpA5kuZJE1UDWOASw_11_0"/>
      <w:bookmarkStart w:id="1855" w:name="Tc_ILj0hC5YGE6AGOcjenhfNQ_10_0"/>
      <w:bookmarkStart w:id="1856" w:name="Tc_Hdv0sf6zX0iySQupNxRG-Q_9_0"/>
      <w:bookmarkStart w:id="1857" w:name="Tc_qcA6JIpOSkChTpb1EeifPA_8_0"/>
      <w:bookmarkStart w:id="1858" w:name="Tc_bXHGV37amkSckB3Hft5kpQ_7_0"/>
      <w:bookmarkStart w:id="1859" w:name="Tc_IFbYQkpTfkmtTDOVgJNNBw_6_8"/>
      <w:bookmarkStart w:id="1860" w:name="Tc_lNQP9a39aEGIFdf4yP7zdw_6_6"/>
      <w:bookmarkStart w:id="1861" w:name="Tc_vrf5RIpFFkCJzdldpE2UyQ_6_5"/>
      <w:bookmarkStart w:id="1862" w:name="Tc_6StZt7AirkqJ31rKvBH6yA_6_2"/>
      <w:bookmarkStart w:id="1863" w:name="Tc_ruyXtgrkUEa9OoZlh8w0_A_6_0"/>
      <w:bookmarkStart w:id="1864" w:name="Tc_bzXEG3rXPE2DVYwJ8GTyvw_5_6"/>
      <w:bookmarkStart w:id="1865" w:name="Tc_MyvICi_cMkWZESJj-Smvaw_5_3"/>
      <w:bookmarkStart w:id="1866" w:name="Tc_QlNhvnmSb0ySIwd22QfDWA_5_0"/>
      <w:bookmarkStart w:id="1867" w:name="Tc_BiitH20oN0qF2hYZCNQLFg_4_11"/>
      <w:bookmarkStart w:id="1868" w:name="Tc_sGfZvCgjpEu6MWZmXwKh7Q_4_9"/>
      <w:bookmarkStart w:id="1869" w:name="Tc_kXMxHF7ZXES_1GQtlCUhXA_4_8"/>
      <w:bookmarkStart w:id="1870" w:name="Tc_ol1X1ezcLkG9DsaaVBM66g_4_6"/>
      <w:bookmarkStart w:id="1871" w:name="Tc_n9yoV59VuEiRUMLVrQdVug_4_5"/>
      <w:bookmarkStart w:id="1872" w:name="Tc_jmPUiiYxe0m8ASsRT4bonw_4_2"/>
      <w:bookmarkStart w:id="1873" w:name="Tc_FbNVajE7uUeqHB5IkUQuEA_4_0"/>
      <w:bookmarkStart w:id="1874" w:name="Tc_e87QGpmtk0uRyyUJlNQyfA_3_0"/>
      <w:bookmarkStart w:id="1875" w:name="Tc_pe5L6i3V1keQ86O0N_UZjw_2_11"/>
      <w:bookmarkStart w:id="1876" w:name="Tc_c-pC3bQGck2CmVOMRchLuA_2_8"/>
      <w:bookmarkStart w:id="1877" w:name="Tc_AHNQH8DjAEqatboX1U0qag_2_5"/>
      <w:bookmarkStart w:id="1878" w:name="Tc_kbDX3MKe5km-w5GNMMlEBw_2_2"/>
      <w:bookmarkStart w:id="1879" w:name="Tc_eF7SZx930EKDOke-toCNtg_2_0"/>
      <w:bookmarkStart w:id="1880" w:name="Tc_XTXJWkLrrEKnvXDUfHV73g_1_2"/>
      <w:bookmarkStart w:id="1881" w:name="_15c4d002_f86e_4a7b_9f23_6c395b56d1be"/>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r>
        <w:rPr>
          <w:rFonts w:ascii="Times New Roman;Times;serif" w:hAnsi="Times New Roman;Times;serif"/>
          <w:sz w:val="20"/>
        </w:rPr>
        <w:t>On March 26, 2024, the Trustees of the Plan entered into an agreement with a large U.K. insurance company to purchase a bulk annuity insurance policy (“arrangement”) as an investment asset. Such arrangement is commonly referred to as a “pension buy-in” and provides the Plan with a monthly contractual payment stream to satisfy pension obligations payable to approximately 15% of total plan participants. The arrangement does not relieve the Plan or the Company (as plan sponsor) of the primary responsibility for the pension obligations. The Plan purchased the arrangement for £70,865 ($90,800) and recorded it at fair value.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pension plan assets are valued at fair value. Below is a description of the valuation methodologies used for investments measured at fair value, categorized according to the valuation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Temporary Cash Investment</w:t>
            </w:r>
            <w:r>
              <w:rPr>
                <w:rFonts w:ascii="Times New Roman;Times;serif" w:hAnsi="Times New Roman;Times;serif"/>
                <w:b w:val="false"/>
                <w:i w:val="false"/>
                <w:caps w:val="false"/>
                <w:smallCaps w:val="false"/>
                <w:sz w:val="20"/>
              </w:rPr>
              <w:t>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Comprising British pounds, these investments are reported in U.S. dollars based on readily available currency exchange rates and are classified as Level 1 investments.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Bulk Annuity Insurance Policy:</w:t>
            </w:r>
            <w:r>
              <w:rPr>
                <w:caps w:val="false"/>
                <w:smallCaps w:val="false"/>
              </w:rPr>
              <w:t xml:space="preserve"> </w:t>
            </w:r>
            <w:r>
              <w:rPr>
                <w:rFonts w:ascii="Times New Roman;Times;serif" w:hAnsi="Times New Roman;Times;serif"/>
                <w:b w:val="false"/>
                <w:i w:val="false"/>
                <w:caps w:val="false"/>
                <w:smallCaps w:val="false"/>
                <w:sz w:val="20"/>
              </w:rPr>
              <w:t>The initial value of the bulk annuity insurance policy was equal to the premium paid to secure it. This value is adjusted each reporting period based on changes in interest rates, discount rates, and benefits paid. Since the valuation of this asset involves significant judgment and lacks observable market inputs, the buy-in contract is classified as Level 3 in the fair value hierarchy.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Leveraged Inflation-Linked Gilt Funds:</w:t>
            </w:r>
            <w:r>
              <w:rPr>
                <w:caps w:val="false"/>
                <w:smallCaps w:val="false"/>
              </w:rPr>
              <w:t xml:space="preserve"> </w:t>
            </w:r>
            <w:r>
              <w:rPr>
                <w:rFonts w:ascii="Times New Roman;Times;serif" w:hAnsi="Times New Roman;Times;serif"/>
                <w:b w:val="false"/>
                <w:i w:val="false"/>
                <w:caps w:val="false"/>
                <w:smallCaps w:val="false"/>
                <w:sz w:val="20"/>
              </w:rPr>
              <w:t>These investments combine U.K. government-backed securities, money market instruments, and derivatives to provide leveraged exposure to changes in long-term interest and inflation rates. Their fair value is calculated using net asset value (“NAV”).</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Bonds:</w:t>
            </w:r>
            <w:r>
              <w:rPr>
                <w:caps w:val="false"/>
                <w:smallCaps w:val="false"/>
              </w:rPr>
              <w:t xml:space="preserve"> </w:t>
            </w:r>
            <w:r>
              <w:rPr>
                <w:rFonts w:ascii="Times New Roman;Times;serif" w:hAnsi="Times New Roman;Times;serif"/>
                <w:b w:val="false"/>
                <w:i w:val="false"/>
                <w:caps w:val="false"/>
                <w:smallCaps w:val="false"/>
                <w:sz w:val="20"/>
              </w:rPr>
              <w:t>Fixed-income securities issued by U.K. corporations, valued at NAV.</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Stock:</w:t>
            </w:r>
            <w:r>
              <w:rPr>
                <w:caps w:val="false"/>
                <w:smallCaps w:val="false"/>
              </w:rPr>
              <w:t xml:space="preserve"> </w:t>
            </w:r>
            <w:r>
              <w:rPr>
                <w:rFonts w:ascii="Times New Roman;Times;serif" w:hAnsi="Times New Roman;Times;serif"/>
                <w:b w:val="false"/>
                <w:i w:val="false"/>
                <w:caps w:val="false"/>
                <w:smallCaps w:val="false"/>
                <w:sz w:val="20"/>
              </w:rPr>
              <w:t>Common and preferred stocks, including mutual funds, from both U.K. and non-U.K. corporations, valued at NAV.</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Secured Income Asset Funds:</w:t>
            </w:r>
            <w:r>
              <w:rPr>
                <w:caps w:val="false"/>
                <w:smallCaps w:val="false"/>
              </w:rPr>
              <w:t xml:space="preserve"> </w:t>
            </w:r>
            <w:r>
              <w:rPr>
                <w:rFonts w:ascii="Times New Roman;Times;serif" w:hAnsi="Times New Roman;Times;serif"/>
                <w:b w:val="false"/>
                <w:i w:val="false"/>
                <w:caps w:val="false"/>
                <w:smallCaps w:val="false"/>
                <w:sz w:val="20"/>
              </w:rPr>
              <w:t>Investments with a high expected inflation linkage, relying on asset valuations developed by fund managers using market multiples, market transactions of comparable companies, and other methods. The fair value is calculated using NAV.</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27, 2025 and December 28, 2024, the pension plan assets measured at fair value on a recurring basis were as follows:</w:t>
      </w:r>
    </w:p>
    <w:p>
      <w:pPr>
        <w:pStyle w:val="TextBody"/>
        <w:bidi w:val="0"/>
        <w:spacing w:before="0" w:after="0"/>
        <w:ind w:left="0" w:right="0" w:hanging="0"/>
        <w:jc w:val="left"/>
        <w:rPr/>
      </w:pPr>
      <w:r>
        <w:rPr/>
        <w:t>​</w:t>
      </w:r>
    </w:p>
    <w:tbl>
      <w:tblPr>
        <w:tblW w:w="6622" w:type="dxa"/>
        <w:jc w:val="left"/>
        <w:tblInd w:w="0" w:type="dxa"/>
        <w:tblLayout w:type="fixed"/>
        <w:tblCellMar>
          <w:top w:w="0" w:type="dxa"/>
          <w:left w:w="0" w:type="dxa"/>
          <w:bottom w:w="0" w:type="dxa"/>
          <w:right w:w="0" w:type="dxa"/>
        </w:tblCellMar>
      </w:tblPr>
      <w:tblGrid>
        <w:gridCol w:w="2701"/>
        <w:gridCol w:w="146"/>
        <w:gridCol w:w="207"/>
        <w:gridCol w:w="635"/>
        <w:gridCol w:w="154"/>
        <w:gridCol w:w="233"/>
        <w:gridCol w:w="412"/>
        <w:gridCol w:w="154"/>
        <w:gridCol w:w="207"/>
        <w:gridCol w:w="635"/>
        <w:gridCol w:w="146"/>
        <w:gridCol w:w="196"/>
        <w:gridCol w:w="796"/>
      </w:tblGrid>
      <w:tr>
        <w:trPr/>
        <w:tc>
          <w:tcPr>
            <w:tcW w:w="27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2710" cy="175260"/>
                      <wp:effectExtent l="0" t="0" r="0" b="0"/>
                      <wp:wrapNone/>
                      <wp:docPr id="51"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27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3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7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December 27, 2025</w:t>
            </w:r>
          </w:p>
        </w:tc>
        <w:tc>
          <w:tcPr>
            <w:tcW w:w="146"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54" w:type="dxa"/>
            <w:tcBorders/>
            <w:vAlign w:val="center"/>
          </w:tcPr>
          <w:p>
            <w:pPr>
              <w:pStyle w:val="TableContents"/>
              <w:bidi w:val="0"/>
              <w:spacing w:before="0" w:after="1"/>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54"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1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Plan assets at fair value:</w:t>
            </w:r>
          </w:p>
        </w:tc>
        <w:tc>
          <w:tcPr>
            <w:tcW w:w="146" w:type="dxa"/>
            <w:tcBorders/>
            <w:shd w:fill="CCEEFF" w:val="clear"/>
            <w:vAlign w:val="center"/>
          </w:tcPr>
          <w:p>
            <w:pPr>
              <w:pStyle w:val="TableContents"/>
              <w:bidi w:val="0"/>
              <w:spacing w:before="0" w:after="1"/>
              <w:ind w:left="0" w:right="0" w:hanging="0"/>
              <w:jc w:val="left"/>
              <w:rPr/>
            </w:pPr>
            <w:r>
              <w:rPr/>
              <w:t> </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 </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Temporary cash investments</w:t>
            </w:r>
          </w:p>
        </w:tc>
        <w:tc>
          <w:tcPr>
            <w:tcW w:w="1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15,920</w:t>
            </w:r>
          </w:p>
        </w:tc>
        <w:tc>
          <w:tcPr>
            <w:tcW w:w="154"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15,920</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Bulk annuity insurance policy</w:t>
            </w:r>
          </w:p>
        </w:tc>
        <w:tc>
          <w:tcPr>
            <w:tcW w:w="1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88,371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88,371</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plan net assets at fair value</w:t>
            </w:r>
          </w:p>
        </w:tc>
        <w:tc>
          <w:tcPr>
            <w:tcW w:w="1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15,920</w:t>
            </w:r>
          </w:p>
        </w:tc>
        <w:tc>
          <w:tcPr>
            <w:tcW w:w="154"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88,371</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104,291</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Plan assets at NAV:</w:t>
            </w:r>
          </w:p>
        </w:tc>
        <w:tc>
          <w:tcPr>
            <w:tcW w:w="1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Leveraged inflation-linked gilt funds</w:t>
            </w:r>
          </w:p>
        </w:tc>
        <w:tc>
          <w:tcPr>
            <w:tcW w:w="1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412"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342,150</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1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38,047</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plan assets at NAV</w:t>
            </w:r>
          </w:p>
        </w:tc>
        <w:tc>
          <w:tcPr>
            <w:tcW w:w="1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412"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380,197</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plan assets</w:t>
            </w:r>
          </w:p>
        </w:tc>
        <w:tc>
          <w:tcPr>
            <w:tcW w:w="1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484,488</w:t>
            </w:r>
          </w:p>
        </w:tc>
      </w:tr>
    </w:tbl>
    <w:p>
      <w:pPr>
        <w:pStyle w:val="TextBody"/>
        <w:bidi w:val="0"/>
        <w:spacing w:before="0" w:after="240"/>
        <w:ind w:left="0" w:right="0" w:hanging="0"/>
        <w:jc w:val="left"/>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1882" w:name="Tc_832RZ9prt0q-EzX6EaFaPg_2_17"/>
      <w:bookmarkStart w:id="1883" w:name="Tc_p5WPVglGNkW77Qih6orRlw_2_14"/>
      <w:bookmarkStart w:id="1884" w:name="Tc_eeMo65Zx1Eupodez76tGJQ_2_12"/>
      <w:bookmarkStart w:id="1885" w:name="Tc_5XwUiFgilEyBdaco_pBXog_2_11"/>
      <w:bookmarkStart w:id="1886" w:name="Tc_7gd-42BcyEq_IZ63oGXC_A_2_8"/>
      <w:bookmarkStart w:id="1887" w:name="Tc_SP2YCngWbEO6ta9xoVdl_w_2_5"/>
      <w:bookmarkStart w:id="1888" w:name="Tc_5r5B9immVE6RPe_nf020Fw_2_3"/>
      <w:bookmarkStart w:id="1889" w:name="Tc_hTq5TOLh-0KZ1Jx6sVi8NQ_2_2"/>
      <w:bookmarkStart w:id="1890" w:name="Tc_nwpFsqmcnUW5Um7b1aau9w_2_0"/>
      <w:bookmarkStart w:id="1891" w:name="Tc_vRV1IM7f_Ey9X3dMW0nlQQ_1_17"/>
      <w:bookmarkStart w:id="1892" w:name="Tc_vwUNurH0o06utHlTRgIPCg_1_14"/>
      <w:bookmarkStart w:id="1893" w:name="Tc_yl34fzzJMUaYCw7H__H62w_1_11"/>
      <w:bookmarkStart w:id="1894" w:name="Tc_Lbj_lOPQZEeeo6ccdWJ3hQ_1_8"/>
      <w:bookmarkStart w:id="1895" w:name="Tc_zYvPHyxp10KCbcZy98xB4Q_1_5"/>
      <w:bookmarkStart w:id="1896" w:name="Tc_lZSwX93G7UmR_XXo--rvvQ_1_2"/>
      <w:bookmarkStart w:id="1897" w:name="Tc_yyyNUjvpQkGiAMGOkrsO4Q_2_17"/>
      <w:bookmarkStart w:id="1898" w:name="Tc_q9H3zv5wyk-vsPcOOahyHg_2_14"/>
      <w:bookmarkStart w:id="1899" w:name="Tc_g5RdCRWB1EScy03lieO_Kg_2_12"/>
      <w:bookmarkStart w:id="1900" w:name="Tc_ghnbzpvYXU2MBKsTR7zkqg_2_11"/>
      <w:bookmarkStart w:id="1901" w:name="Tc_FZKtz0qIxUOcPUd1dDVGoA_2_8"/>
      <w:bookmarkStart w:id="1902" w:name="Tc_3YhgtJU9dECQycguIyZdBQ_2_5"/>
      <w:bookmarkStart w:id="1903" w:name="Tc_sawnQs0p_ku5K3fpG17vsw_2_2"/>
      <w:bookmarkStart w:id="1904" w:name="Tc_twLufIzZgkKKhQm0Y68kRA_2_0"/>
      <w:bookmarkStart w:id="1905" w:name="Tc_pIJImkgfCEyuJFR2Zs21fQ_1_17"/>
      <w:bookmarkStart w:id="1906" w:name="Tc_5OswbeKqHEGywjtSD0BjIQ_1_14"/>
      <w:bookmarkStart w:id="1907" w:name="Tc_iw0YK93Vd0yy5RK02bJvLw_1_11"/>
      <w:bookmarkStart w:id="1908" w:name="Tc_vRjcqhs0YESW9YjZRmtJXA_1_8"/>
      <w:bookmarkStart w:id="1909" w:name="Tc_l8DLATh5v06QKuFO_6oOjQ_1_5"/>
      <w:bookmarkStart w:id="1910" w:name="Tc_U_MpJRlOHUCdYAI7AZHQcQ_1_2"/>
      <w:bookmarkStart w:id="1911" w:name="Tc_0bNrA89tuEWn8L2SXlrUNg_13_11"/>
      <w:bookmarkStart w:id="1912" w:name="Tc_4akQRkTk6UKsNVVNVTpK4A_13_0"/>
      <w:bookmarkStart w:id="1913" w:name="Tc_VIfuLdTk-ke2DRuzYXYutQ_12_0"/>
      <w:bookmarkStart w:id="1914" w:name="Tc_c3sJO69b0EmqNX8Z12-xnw_11_0"/>
      <w:bookmarkStart w:id="1915" w:name="Tc_Pm_Q2ZoOg02MHwazGzUnSw_10_0"/>
      <w:bookmarkStart w:id="1916" w:name="Tc_rzKPPtpJL0eaf49d9V9zEA_9_0"/>
      <w:bookmarkStart w:id="1917" w:name="Tc_Oa51o43cjU6k2-gXwWkzmw_8_0"/>
      <w:bookmarkStart w:id="1918" w:name="Tc_Fia8LEFank22IU1jisU2kw_7_0"/>
      <w:bookmarkStart w:id="1919" w:name="Tc_LQUw9Wu3Dk2gGcyT_QhzCw_6_8"/>
      <w:bookmarkStart w:id="1920" w:name="Tc_HN_3XIcgiEO7d0HBLOQK7A_6_6"/>
      <w:bookmarkStart w:id="1921" w:name="Tc_rQTTnzKc1026z_clZ2Btrg_6_5"/>
      <w:bookmarkStart w:id="1922" w:name="Tc_zEYg4rurgUa44WVQU1aOyg_6_2"/>
      <w:bookmarkStart w:id="1923" w:name="Tc_zL2aeJLwykWzyOT6a9hvCg_6_0"/>
      <w:bookmarkStart w:id="1924" w:name="Tc_N7XRRg05VESpqv6L1a2ZrQ_5_6"/>
      <w:bookmarkStart w:id="1925" w:name="Tc_fNOhPWn_T0SwT67k04XUJg_5_3"/>
      <w:bookmarkStart w:id="1926" w:name="Tc_h5roAmlfgUmSuSsWbrSmsw_5_0"/>
      <w:bookmarkStart w:id="1927" w:name="Tc_JU96goTPGka1-6rt7yA0iw_4_11"/>
      <w:bookmarkStart w:id="1928" w:name="Tc_MNGrsxh460y18xY6W9g1rA_4_9"/>
      <w:bookmarkStart w:id="1929" w:name="Tc_dZspBM-aDE2QIQpzTQ-waQ_4_8"/>
      <w:bookmarkStart w:id="1930" w:name="Tc_g2LCvD7vM0-bG0yZjFRwUA_4_6"/>
      <w:bookmarkStart w:id="1931" w:name="Tc_FWJzjwkShU2Zxb6HP-nWzg_4_5"/>
      <w:bookmarkStart w:id="1932" w:name="Tc_DPpHvg1rh0y7JwppJN_2LQ_4_2"/>
      <w:bookmarkStart w:id="1933" w:name="Tc_GLKm-uPSbE6LhzcZotsUMA_4_0"/>
      <w:bookmarkStart w:id="1934" w:name="Tc_W3upyrfTRkypJVppSvuFtA_3_0"/>
      <w:bookmarkStart w:id="1935" w:name="Tc_U5EAjjAEYEaDVAU7Al9AVQ_2_11"/>
      <w:bookmarkStart w:id="1936" w:name="Tc_6HQX_VpAcUiO-NB0laxOOg_2_8"/>
      <w:bookmarkStart w:id="1937" w:name="Tc_xdBkI-L0NUOsywrnjFqoHw_2_5"/>
      <w:bookmarkStart w:id="1938" w:name="Tc_7ejjFvfvXUm2mM02_4-zRg_2_2"/>
      <w:bookmarkStart w:id="1939" w:name="Tc__onxvjUcf0eXY5n2c3q-CQ_2_0"/>
      <w:bookmarkStart w:id="1940" w:name="Tc_3g4leyE3m0mltKuBd2ThDA_1_2"/>
      <w:bookmarkStart w:id="1941" w:name="Tc_832RZ9prt0q-EzX6EaFaPg_2_17"/>
      <w:bookmarkStart w:id="1942" w:name="Tc_p5WPVglGNkW77Qih6orRlw_2_14"/>
      <w:bookmarkStart w:id="1943" w:name="Tc_eeMo65Zx1Eupodez76tGJQ_2_12"/>
      <w:bookmarkStart w:id="1944" w:name="Tc_5XwUiFgilEyBdaco_pBXog_2_11"/>
      <w:bookmarkStart w:id="1945" w:name="Tc_7gd-42BcyEq_IZ63oGXC_A_2_8"/>
      <w:bookmarkStart w:id="1946" w:name="Tc_SP2YCngWbEO6ta9xoVdl_w_2_5"/>
      <w:bookmarkStart w:id="1947" w:name="Tc_5r5B9immVE6RPe_nf020Fw_2_3"/>
      <w:bookmarkStart w:id="1948" w:name="Tc_hTq5TOLh-0KZ1Jx6sVi8NQ_2_2"/>
      <w:bookmarkStart w:id="1949" w:name="Tc_nwpFsqmcnUW5Um7b1aau9w_2_0"/>
      <w:bookmarkStart w:id="1950" w:name="Tc_vRV1IM7f_Ey9X3dMW0nlQQ_1_17"/>
      <w:bookmarkStart w:id="1951" w:name="Tc_vwUNurH0o06utHlTRgIPCg_1_14"/>
      <w:bookmarkStart w:id="1952" w:name="Tc_yl34fzzJMUaYCw7H__H62w_1_11"/>
      <w:bookmarkStart w:id="1953" w:name="Tc_Lbj_lOPQZEeeo6ccdWJ3hQ_1_8"/>
      <w:bookmarkStart w:id="1954" w:name="Tc_zYvPHyxp10KCbcZy98xB4Q_1_5"/>
      <w:bookmarkStart w:id="1955" w:name="Tc_lZSwX93G7UmR_XXo--rvvQ_1_2"/>
      <w:bookmarkStart w:id="1956" w:name="Tc_yyyNUjvpQkGiAMGOkrsO4Q_2_17"/>
      <w:bookmarkStart w:id="1957" w:name="Tc_q9H3zv5wyk-vsPcOOahyHg_2_14"/>
      <w:bookmarkStart w:id="1958" w:name="Tc_g5RdCRWB1EScy03lieO_Kg_2_12"/>
      <w:bookmarkStart w:id="1959" w:name="Tc_ghnbzpvYXU2MBKsTR7zkqg_2_11"/>
      <w:bookmarkStart w:id="1960" w:name="Tc_FZKtz0qIxUOcPUd1dDVGoA_2_8"/>
      <w:bookmarkStart w:id="1961" w:name="Tc_3YhgtJU9dECQycguIyZdBQ_2_5"/>
      <w:bookmarkStart w:id="1962" w:name="Tc_sawnQs0p_ku5K3fpG17vsw_2_2"/>
      <w:bookmarkStart w:id="1963" w:name="Tc_twLufIzZgkKKhQm0Y68kRA_2_0"/>
      <w:bookmarkStart w:id="1964" w:name="Tc_pIJImkgfCEyuJFR2Zs21fQ_1_17"/>
      <w:bookmarkStart w:id="1965" w:name="Tc_5OswbeKqHEGywjtSD0BjIQ_1_14"/>
      <w:bookmarkStart w:id="1966" w:name="Tc_iw0YK93Vd0yy5RK02bJvLw_1_11"/>
      <w:bookmarkStart w:id="1967" w:name="Tc_vRjcqhs0YESW9YjZRmtJXA_1_8"/>
      <w:bookmarkStart w:id="1968" w:name="Tc_l8DLATh5v06QKuFO_6oOjQ_1_5"/>
      <w:bookmarkStart w:id="1969" w:name="Tc_U_MpJRlOHUCdYAI7AZHQcQ_1_2"/>
      <w:bookmarkStart w:id="1970" w:name="Tc_0bNrA89tuEWn8L2SXlrUNg_13_11"/>
      <w:bookmarkStart w:id="1971" w:name="Tc_4akQRkTk6UKsNVVNVTpK4A_13_0"/>
      <w:bookmarkStart w:id="1972" w:name="Tc_VIfuLdTk-ke2DRuzYXYutQ_12_0"/>
      <w:bookmarkStart w:id="1973" w:name="Tc_c3sJO69b0EmqNX8Z12-xnw_11_0"/>
      <w:bookmarkStart w:id="1974" w:name="Tc_Pm_Q2ZoOg02MHwazGzUnSw_10_0"/>
      <w:bookmarkStart w:id="1975" w:name="Tc_rzKPPtpJL0eaf49d9V9zEA_9_0"/>
      <w:bookmarkStart w:id="1976" w:name="Tc_Oa51o43cjU6k2-gXwWkzmw_8_0"/>
      <w:bookmarkStart w:id="1977" w:name="Tc_Fia8LEFank22IU1jisU2kw_7_0"/>
      <w:bookmarkStart w:id="1978" w:name="Tc_LQUw9Wu3Dk2gGcyT_QhzCw_6_8"/>
      <w:bookmarkStart w:id="1979" w:name="Tc_HN_3XIcgiEO7d0HBLOQK7A_6_6"/>
      <w:bookmarkStart w:id="1980" w:name="Tc_rQTTnzKc1026z_clZ2Btrg_6_5"/>
      <w:bookmarkStart w:id="1981" w:name="Tc_zEYg4rurgUa44WVQU1aOyg_6_2"/>
      <w:bookmarkStart w:id="1982" w:name="Tc_zL2aeJLwykWzyOT6a9hvCg_6_0"/>
      <w:bookmarkStart w:id="1983" w:name="Tc_N7XRRg05VESpqv6L1a2ZrQ_5_6"/>
      <w:bookmarkStart w:id="1984" w:name="Tc_fNOhPWn_T0SwT67k04XUJg_5_3"/>
      <w:bookmarkStart w:id="1985" w:name="Tc_h5roAmlfgUmSuSsWbrSmsw_5_0"/>
      <w:bookmarkStart w:id="1986" w:name="Tc_JU96goTPGka1-6rt7yA0iw_4_11"/>
      <w:bookmarkStart w:id="1987" w:name="Tc_MNGrsxh460y18xY6W9g1rA_4_9"/>
      <w:bookmarkStart w:id="1988" w:name="Tc_dZspBM-aDE2QIQpzTQ-waQ_4_8"/>
      <w:bookmarkStart w:id="1989" w:name="Tc_g2LCvD7vM0-bG0yZjFRwUA_4_6"/>
      <w:bookmarkStart w:id="1990" w:name="Tc_FWJzjwkShU2Zxb6HP-nWzg_4_5"/>
      <w:bookmarkStart w:id="1991" w:name="Tc_DPpHvg1rh0y7JwppJN_2LQ_4_2"/>
      <w:bookmarkStart w:id="1992" w:name="Tc_GLKm-uPSbE6LhzcZotsUMA_4_0"/>
      <w:bookmarkStart w:id="1993" w:name="Tc_W3upyrfTRkypJVppSvuFtA_3_0"/>
      <w:bookmarkStart w:id="1994" w:name="Tc_U5EAjjAEYEaDVAU7Al9AVQ_2_11"/>
      <w:bookmarkStart w:id="1995" w:name="Tc_6HQX_VpAcUiO-NB0laxOOg_2_8"/>
      <w:bookmarkStart w:id="1996" w:name="Tc_xdBkI-L0NUOsywrnjFqoHw_2_5"/>
      <w:bookmarkStart w:id="1997" w:name="Tc_7ejjFvfvXUm2mM02_4-zRg_2_2"/>
      <w:bookmarkStart w:id="1998" w:name="Tc__onxvjUcf0eXY5n2c3q-CQ_2_0"/>
      <w:bookmarkStart w:id="1999" w:name="Tc_3g4leyE3m0mltKuBd2ThDA_1_2"/>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p>
    <w:tbl>
      <w:tblPr>
        <w:tblW w:w="6599" w:type="dxa"/>
        <w:jc w:val="left"/>
        <w:tblInd w:w="0" w:type="dxa"/>
        <w:tblLayout w:type="fixed"/>
        <w:tblCellMar>
          <w:top w:w="0" w:type="dxa"/>
          <w:left w:w="0" w:type="dxa"/>
          <w:bottom w:w="0" w:type="dxa"/>
          <w:right w:w="0" w:type="dxa"/>
        </w:tblCellMar>
      </w:tblPr>
      <w:tblGrid>
        <w:gridCol w:w="2701"/>
        <w:gridCol w:w="146"/>
        <w:gridCol w:w="215"/>
        <w:gridCol w:w="560"/>
        <w:gridCol w:w="160"/>
        <w:gridCol w:w="233"/>
        <w:gridCol w:w="412"/>
        <w:gridCol w:w="160"/>
        <w:gridCol w:w="215"/>
        <w:gridCol w:w="659"/>
        <w:gridCol w:w="146"/>
        <w:gridCol w:w="196"/>
        <w:gridCol w:w="796"/>
      </w:tblGrid>
      <w:tr>
        <w:trPr/>
        <w:tc>
          <w:tcPr>
            <w:tcW w:w="27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1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 Measurement Using:</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7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December 28, 2024</w:t>
            </w:r>
          </w:p>
        </w:tc>
        <w:tc>
          <w:tcPr>
            <w:tcW w:w="146" w:type="dxa"/>
            <w:tcBorders/>
            <w:vAlign w:val="center"/>
          </w:tcPr>
          <w:p>
            <w:pPr>
              <w:pStyle w:val="TableContents"/>
              <w:bidi w:val="0"/>
              <w:spacing w:before="0" w:after="1"/>
              <w:ind w:left="0" w:right="0" w:hanging="0"/>
              <w:jc w:val="left"/>
              <w:rPr/>
            </w:pPr>
            <w:r>
              <w:rPr/>
              <w:t>​</w:t>
            </w:r>
          </w:p>
        </w:tc>
        <w:tc>
          <w:tcPr>
            <w:tcW w:w="7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60" w:type="dxa"/>
            <w:tcBorders/>
            <w:vAlign w:val="center"/>
          </w:tcPr>
          <w:p>
            <w:pPr>
              <w:pStyle w:val="TableContents"/>
              <w:bidi w:val="0"/>
              <w:spacing w:before="0" w:after="1"/>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60" w:type="dxa"/>
            <w:tcBorders/>
            <w:vAlign w:val="center"/>
          </w:tcPr>
          <w:p>
            <w:pPr>
              <w:pStyle w:val="TableContents"/>
              <w:bidi w:val="0"/>
              <w:spacing w:before="0" w:after="1"/>
              <w:ind w:left="0" w:right="0" w:hanging="0"/>
              <w:jc w:val="left"/>
              <w:rPr/>
            </w:pPr>
            <w:r>
              <w:rPr/>
              <w:t>​</w:t>
            </w:r>
          </w:p>
        </w:tc>
        <w:tc>
          <w:tcPr>
            <w:tcW w:w="8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1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Plan assets at fair value:</w:t>
            </w:r>
          </w:p>
        </w:tc>
        <w:tc>
          <w:tcPr>
            <w:tcW w:w="14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Temporary cash investments</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8,927</w:t>
            </w:r>
          </w:p>
        </w:tc>
        <w:tc>
          <w:tcPr>
            <w:tcW w:w="16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8,927</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Bulk annuity insurance policy</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82,856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82,856</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plan net assets at fair value</w:t>
            </w:r>
          </w:p>
        </w:tc>
        <w:tc>
          <w:tcPr>
            <w:tcW w:w="1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8,927</w:t>
            </w:r>
          </w:p>
        </w:tc>
        <w:tc>
          <w:tcPr>
            <w:tcW w:w="160"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82,856</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91,783</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Plan assets at NAV:</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560"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65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Leveraged inflation-linked gilt funds</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16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412" w:type="dxa"/>
            <w:tcBorders/>
            <w:vAlign w:val="center"/>
          </w:tcPr>
          <w:p>
            <w:pPr>
              <w:pStyle w:val="TableContents"/>
              <w:bidi w:val="0"/>
              <w:spacing w:before="0" w:after="1"/>
              <w:ind w:left="0" w:right="0" w:hanging="0"/>
              <w:jc w:val="right"/>
              <w:rPr/>
            </w:pPr>
            <w:r>
              <w:rPr/>
              <w:t>  ​</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146,601</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65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33,318</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stock</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16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412" w:type="dxa"/>
            <w:tcBorders/>
            <w:vAlign w:val="center"/>
          </w:tcPr>
          <w:p>
            <w:pPr>
              <w:pStyle w:val="TableContents"/>
              <w:bidi w:val="0"/>
              <w:spacing w:before="0" w:after="1"/>
              <w:ind w:left="0" w:right="0" w:hanging="0"/>
              <w:jc w:val="right"/>
              <w:rPr/>
            </w:pPr>
            <w:r>
              <w:rPr/>
              <w:t>  ​</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73,426</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Secured income asset funds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65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116,049</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plan assets at NAV</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16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412" w:type="dxa"/>
            <w:tcBorders/>
            <w:vAlign w:val="center"/>
          </w:tcPr>
          <w:p>
            <w:pPr>
              <w:pStyle w:val="TableContents"/>
              <w:bidi w:val="0"/>
              <w:spacing w:before="0" w:after="1"/>
              <w:ind w:left="0" w:right="0" w:hanging="0"/>
              <w:jc w:val="right"/>
              <w:rPr/>
            </w:pPr>
            <w:r>
              <w:rPr/>
              <w:t>  ​</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369,394</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plan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65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461,177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Changes in the Company’s Level 3 plan assets in fiscal 2025, which were recorded in other comprehensive income (loss), included: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68"/>
        <w:gridCol w:w="109"/>
        <w:gridCol w:w="268"/>
        <w:gridCol w:w="823"/>
        <w:gridCol w:w="109"/>
        <w:gridCol w:w="486"/>
        <w:gridCol w:w="1270"/>
        <w:gridCol w:w="109"/>
        <w:gridCol w:w="451"/>
        <w:gridCol w:w="1316"/>
        <w:gridCol w:w="109"/>
        <w:gridCol w:w="537"/>
        <w:gridCol w:w="952"/>
        <w:gridCol w:w="109"/>
        <w:gridCol w:w="287"/>
        <w:gridCol w:w="750"/>
        <w:gridCol w:w="109"/>
        <w:gridCol w:w="246"/>
        <w:gridCol w:w="897"/>
      </w:tblGrid>
      <w:tr>
        <w:trPr/>
        <w:tc>
          <w:tcPr>
            <w:tcW w:w="12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1"/>
              <w:ind w:left="0" w:right="0" w:hanging="0"/>
              <w:jc w:val="left"/>
              <w:rPr/>
            </w:pPr>
            <w:r>
              <w:rPr/>
              <w:t>​</w:t>
            </w:r>
          </w:p>
        </w:tc>
        <w:tc>
          <w:tcPr>
            <w:tcW w:w="12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12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 2024</w:t>
            </w:r>
          </w:p>
        </w:tc>
        <w:tc>
          <w:tcPr>
            <w:tcW w:w="109" w:type="dxa"/>
            <w:tcBorders/>
            <w:vAlign w:val="center"/>
          </w:tcPr>
          <w:p>
            <w:pPr>
              <w:pStyle w:val="TableContents"/>
              <w:bidi w:val="0"/>
              <w:spacing w:before="0" w:after="1"/>
              <w:ind w:left="0" w:right="0" w:hanging="0"/>
              <w:jc w:val="left"/>
              <w:rPr/>
            </w:pPr>
            <w:r>
              <w:rPr/>
              <w:t>​</w:t>
            </w:r>
          </w:p>
        </w:tc>
        <w:tc>
          <w:tcPr>
            <w:tcW w:w="17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Realized and Unrealized Gains (Losses)</w:t>
            </w:r>
          </w:p>
        </w:tc>
        <w:tc>
          <w:tcPr>
            <w:tcW w:w="109" w:type="dxa"/>
            <w:tcBorders/>
            <w:vAlign w:val="center"/>
          </w:tcPr>
          <w:p>
            <w:pPr>
              <w:pStyle w:val="TableContents"/>
              <w:bidi w:val="0"/>
              <w:spacing w:before="0" w:after="1"/>
              <w:ind w:left="0" w:right="0" w:hanging="0"/>
              <w:jc w:val="left"/>
              <w:rPr/>
            </w:pPr>
            <w:r>
              <w:rPr/>
              <w:t>​</w:t>
            </w:r>
          </w:p>
        </w:tc>
        <w:tc>
          <w:tcPr>
            <w:tcW w:w="1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Purchases, Issuances, and Settlements</w:t>
            </w:r>
          </w:p>
        </w:tc>
        <w:tc>
          <w:tcPr>
            <w:tcW w:w="109" w:type="dxa"/>
            <w:tcBorders/>
            <w:vAlign w:val="center"/>
          </w:tcPr>
          <w:p>
            <w:pPr>
              <w:pStyle w:val="TableContents"/>
              <w:bidi w:val="0"/>
              <w:spacing w:before="0" w:after="1"/>
              <w:ind w:left="0" w:right="0" w:hanging="0"/>
              <w:jc w:val="left"/>
              <w:rPr/>
            </w:pPr>
            <w:r>
              <w:rPr/>
              <w:t>​</w:t>
            </w:r>
          </w:p>
        </w:tc>
        <w:tc>
          <w:tcPr>
            <w:tcW w:w="14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Transfers Into (Out of) Level 3</w:t>
            </w:r>
          </w:p>
        </w:tc>
        <w:tc>
          <w:tcPr>
            <w:tcW w:w="109"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Currency Impact</w:t>
            </w:r>
          </w:p>
        </w:tc>
        <w:tc>
          <w:tcPr>
            <w:tcW w:w="109" w:type="dxa"/>
            <w:tcBorders/>
            <w:vAlign w:val="center"/>
          </w:tcPr>
          <w:p>
            <w:pPr>
              <w:pStyle w:val="TableContents"/>
              <w:bidi w:val="0"/>
              <w:spacing w:before="0" w:after="1"/>
              <w:ind w:left="0" w:right="0" w:hanging="0"/>
              <w:jc w:val="left"/>
              <w:rPr/>
            </w:pPr>
            <w:r>
              <w:rPr/>
              <w:t>​</w:t>
            </w:r>
          </w:p>
        </w:tc>
        <w:tc>
          <w:tcPr>
            <w:tcW w:w="11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 2025</w:t>
            </w:r>
          </w:p>
        </w:tc>
      </w:tr>
      <w:tr>
        <w:trPr/>
        <w:tc>
          <w:tcPr>
            <w:tcW w:w="126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Bulk annuity insurance policy</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82,856</w:t>
            </w:r>
          </w:p>
        </w:tc>
        <w:tc>
          <w:tcPr>
            <w:tcW w:w="109" w:type="dxa"/>
            <w:tcBorders/>
            <w:shd w:fill="CCEEFF" w:val="clear"/>
            <w:vAlign w:val="center"/>
          </w:tcPr>
          <w:p>
            <w:pPr>
              <w:pStyle w:val="TableContents"/>
              <w:bidi w:val="0"/>
              <w:spacing w:before="0" w:after="1"/>
              <w:ind w:left="0" w:right="0" w:hanging="0"/>
              <w:jc w:val="left"/>
              <w:rPr/>
            </w:pPr>
            <w:r>
              <w:rPr/>
              <w:t>​</w:t>
            </w:r>
          </w:p>
        </w:tc>
        <w:tc>
          <w:tcPr>
            <w:tcW w:w="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4,607</w:t>
            </w:r>
          </w:p>
        </w:tc>
        <w:tc>
          <w:tcPr>
            <w:tcW w:w="109"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(5,133)</w:t>
            </w:r>
          </w:p>
        </w:tc>
        <w:tc>
          <w:tcPr>
            <w:tcW w:w="109"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6,041</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7"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88,371</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Changes in the Company’s Level 3 plan assets in fiscal 2024, which were recorded in other comprehensive income (loss), included: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68"/>
        <w:gridCol w:w="109"/>
        <w:gridCol w:w="393"/>
        <w:gridCol w:w="698"/>
        <w:gridCol w:w="109"/>
        <w:gridCol w:w="447"/>
        <w:gridCol w:w="1310"/>
        <w:gridCol w:w="109"/>
        <w:gridCol w:w="433"/>
        <w:gridCol w:w="1334"/>
        <w:gridCol w:w="109"/>
        <w:gridCol w:w="537"/>
        <w:gridCol w:w="952"/>
        <w:gridCol w:w="109"/>
        <w:gridCol w:w="263"/>
        <w:gridCol w:w="774"/>
        <w:gridCol w:w="109"/>
        <w:gridCol w:w="246"/>
        <w:gridCol w:w="896"/>
      </w:tblGrid>
      <w:tr>
        <w:trPr/>
        <w:tc>
          <w:tcPr>
            <w:tcW w:w="12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1"/>
              <w:ind w:left="0" w:right="0" w:hanging="0"/>
              <w:jc w:val="left"/>
              <w:rPr/>
            </w:pPr>
            <w:r>
              <w:rPr/>
              <w:t>​</w:t>
            </w:r>
          </w:p>
        </w:tc>
        <w:tc>
          <w:tcPr>
            <w:tcW w:w="13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w:t>
            </w:r>
          </w:p>
        </w:tc>
        <w:tc>
          <w:tcPr>
            <w:tcW w:w="133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7"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12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 2023</w:t>
            </w:r>
          </w:p>
        </w:tc>
        <w:tc>
          <w:tcPr>
            <w:tcW w:w="109" w:type="dxa"/>
            <w:tcBorders/>
            <w:vAlign w:val="center"/>
          </w:tcPr>
          <w:p>
            <w:pPr>
              <w:pStyle w:val="TableContents"/>
              <w:bidi w:val="0"/>
              <w:spacing w:before="0" w:after="1"/>
              <w:ind w:left="0" w:right="0" w:hanging="0"/>
              <w:jc w:val="left"/>
              <w:rPr/>
            </w:pPr>
            <w:r>
              <w:rPr/>
              <w:t>​</w:t>
            </w:r>
          </w:p>
        </w:tc>
        <w:tc>
          <w:tcPr>
            <w:tcW w:w="17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Realized and Unrealized Gains (Losses)</w:t>
            </w:r>
          </w:p>
        </w:tc>
        <w:tc>
          <w:tcPr>
            <w:tcW w:w="109" w:type="dxa"/>
            <w:tcBorders/>
            <w:vAlign w:val="center"/>
          </w:tcPr>
          <w:p>
            <w:pPr>
              <w:pStyle w:val="TableContents"/>
              <w:bidi w:val="0"/>
              <w:spacing w:before="0" w:after="1"/>
              <w:ind w:left="0" w:right="0" w:hanging="0"/>
              <w:jc w:val="left"/>
              <w:rPr/>
            </w:pPr>
            <w:r>
              <w:rPr/>
              <w:t>​</w:t>
            </w:r>
          </w:p>
        </w:tc>
        <w:tc>
          <w:tcPr>
            <w:tcW w:w="1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Purchases, Issuances, and Settlements</w:t>
            </w:r>
          </w:p>
        </w:tc>
        <w:tc>
          <w:tcPr>
            <w:tcW w:w="109" w:type="dxa"/>
            <w:tcBorders/>
            <w:vAlign w:val="center"/>
          </w:tcPr>
          <w:p>
            <w:pPr>
              <w:pStyle w:val="TableContents"/>
              <w:bidi w:val="0"/>
              <w:spacing w:before="0" w:after="1"/>
              <w:ind w:left="0" w:right="0" w:hanging="0"/>
              <w:jc w:val="left"/>
              <w:rPr/>
            </w:pPr>
            <w:r>
              <w:rPr/>
              <w:t>​</w:t>
            </w:r>
          </w:p>
        </w:tc>
        <w:tc>
          <w:tcPr>
            <w:tcW w:w="14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Transfers Into (Out of) Level 3</w:t>
            </w:r>
          </w:p>
        </w:tc>
        <w:tc>
          <w:tcPr>
            <w:tcW w:w="109"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Currency Impact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 2024</w:t>
            </w:r>
          </w:p>
        </w:tc>
      </w:tr>
      <w:tr>
        <w:trPr/>
        <w:tc>
          <w:tcPr>
            <w:tcW w:w="126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Bulk annuity insurance policy</w:t>
            </w:r>
          </w:p>
        </w:tc>
        <w:tc>
          <w:tcPr>
            <w:tcW w:w="109"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(3,074)</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87,445</w:t>
            </w:r>
          </w:p>
        </w:tc>
        <w:tc>
          <w:tcPr>
            <w:tcW w:w="109" w:type="dxa"/>
            <w:tcBorders/>
            <w:shd w:fill="CCEEFF" w:val="clear"/>
            <w:vAlign w:val="center"/>
          </w:tcPr>
          <w:p>
            <w:pPr>
              <w:pStyle w:val="TableContents"/>
              <w:bidi w:val="0"/>
              <w:spacing w:before="0" w:after="1"/>
              <w:ind w:left="0" w:right="0" w:hanging="0"/>
              <w:jc w:val="left"/>
              <w:rPr/>
            </w:pPr>
            <w:r>
              <w:rPr/>
              <w:t>​</w:t>
            </w:r>
          </w:p>
        </w:tc>
        <w:tc>
          <w:tcPr>
            <w:tcW w:w="5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(1,515)</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82,856</w:t>
            </w:r>
          </w:p>
        </w:tc>
      </w:tr>
    </w:tbl>
    <w:p>
      <w:pPr>
        <w:pStyle w:val="TextBody"/>
        <w:bidi w:val="0"/>
        <w:spacing w:before="0" w:after="240"/>
        <w:ind w:left="0" w:right="0" w:firstLine="720"/>
        <w:jc w:val="left"/>
        <w:rPr/>
      </w:pPr>
      <w:r>
        <w:rPr/>
        <w:t>​</w:t>
      </w:r>
    </w:p>
    <w:p>
      <w:pPr>
        <w:pStyle w:val="TextBody"/>
        <w:bidi w:val="0"/>
        <w:spacing w:before="240" w:after="240"/>
        <w:ind w:left="0" w:right="0" w:hanging="0"/>
        <w:jc w:val="left"/>
        <w:rPr>
          <w:rFonts w:ascii="Times New Roman;Times;serif" w:hAnsi="Times New Roman;Times;serif"/>
          <w:b/>
          <w:sz w:val="20"/>
        </w:rPr>
      </w:pPr>
      <w:bookmarkStart w:id="2000" w:name="a19LEASES_210859"/>
      <w:bookmarkEnd w:id="2000"/>
      <w:r>
        <w:rPr>
          <w:rFonts w:ascii="Times New Roman;Times;serif" w:hAnsi="Times New Roman;Times;serif"/>
          <w:b/>
          <w:sz w:val="20"/>
        </w:rPr>
        <w:t>(19)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 lessee in noncancellable operating leases for plant locations, corporate and sales offices, and certain equipment. The Company does not have any finance leases. At the inception of a contract, or when an existing contract is modified, the Company determines if the arrangement constitutes a lease based on whether it conveys the right to use an identified asset and whether the Company obtains substantially all of the economic benefits from, and has the ability to direct the use of, the asset.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lease commencement, the Company recognizes a lease liability and a right-of-use (“ROU”) asset, based on the present value of lease payments over the lease term. ROU assets represent the right to use the underlying asset for the lease term, while lease liabilities represent the Company’s obligation to make lease payments. The Company uses its collateralized incremental borrowing rate to calculate the present value of future lease payments. ROU assets are adjusted for any lease payments, incentives, or impairments. Lease costs are recognized on a straight-line basis over the lease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lease ROU assets are included in “Operating lease right-of-use assets” and the corresponding lease obligations are included in “Other accrued expenses” and “Operating lease liabilities” in the Consolidated Balance Sheets.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2001" w:name="Tc_hEOHWBlfeEe0DTlLykGXRA_9_2"/>
      <w:bookmarkStart w:id="2002" w:name="Tc_mr4f7O_ZrkGK1UERlggdxQ_9_0"/>
      <w:bookmarkStart w:id="2003" w:name="Tc_ao7EvzwWG0mT5B-fr9Ikug_8_0"/>
      <w:bookmarkStart w:id="2004" w:name="Tc_uZ4z6SASw0-36hdii7NRHw_7_0"/>
      <w:bookmarkStart w:id="2005" w:name="Tc__XJSxJvE902AgULTCcpf3g_6_0"/>
      <w:bookmarkStart w:id="2006" w:name="Tc_m744bdzDk0KWdog3-Zm72w_5_0"/>
      <w:bookmarkStart w:id="2007" w:name="Tc_sZ20eF_9qkGYpar4t0gpUQ_4_0"/>
      <w:bookmarkStart w:id="2008" w:name="Tc_m3zhXhF_Ike1kT55Vb_lzQ_3_0"/>
      <w:bookmarkStart w:id="2009" w:name="Tc_xKGkrvm8_kOA99c9n5B8Zw_2_0"/>
      <w:bookmarkStart w:id="2010" w:name="Tc_FuIlAqoUs061_-_BPhbg0g_1_2"/>
      <w:bookmarkStart w:id="2011" w:name="Tc_yRAKVRkLLEKlInudwuXvhQ_1_0"/>
      <w:bookmarkStart w:id="2012" w:name="_0786ac5e_5e8f_429d_a1f9_c41ddb13920b"/>
      <w:bookmarkStart w:id="2013" w:name="Tc_Wx0dUxBVBkigZbq7F8EBXQ_8_0"/>
      <w:bookmarkStart w:id="2014" w:name="Tc_YhQ4A0rEXEWaiBcxEGjQmQ_7_0"/>
      <w:bookmarkStart w:id="2015" w:name="Tc_X_2R1mK-5kOdDRmbkmAhYA_6_0"/>
      <w:bookmarkStart w:id="2016" w:name="Tc_lopupszJnUOWO8ails8k5Q_5_5"/>
      <w:bookmarkStart w:id="2017" w:name="Tc_8C30-HAji0GOjeEVQI2gnQ_5_2"/>
      <w:bookmarkStart w:id="2018" w:name="Tc_PmkJacb8akm-qUOd5Wyfig_5_0"/>
      <w:bookmarkStart w:id="2019" w:name="Tc_5tmqFvPEuU-7dNfV_8AXjA_3_5"/>
      <w:bookmarkStart w:id="2020" w:name="Tc_2unxmcya9UqJx9aFcoqfgg_3_2"/>
      <w:bookmarkStart w:id="2021" w:name="Tc_gT6YomIaLEOcnapHKNdW5Q_3_0"/>
      <w:bookmarkStart w:id="2022" w:name="Tc_ehSrYX1lWE-oAqsbhXmEhA_2_5"/>
      <w:bookmarkStart w:id="2023" w:name="Tc_WvrH-YVlgkerT-etVpuYmg_2_2"/>
      <w:bookmarkStart w:id="2024" w:name="Tc_Qd6eGhgRdEON8_cNisddLw_1_5"/>
      <w:bookmarkStart w:id="2025" w:name="Tc_iCQQ3tY43kmnhIl8XKwtIA_1_2"/>
      <w:bookmarkStart w:id="2026" w:name="Tc_bnSlUEMDd0uwMFHipwVaGw_7_7"/>
      <w:bookmarkStart w:id="2027" w:name="Tc_B_TDDzSmOkK87Ozc5550IA_7_4"/>
      <w:bookmarkStart w:id="2028" w:name="Tc_M0Owp_4RbEu-SGlYCXY4VA_7_0"/>
      <w:bookmarkStart w:id="2029" w:name="Tc_ZFPgQ_Bv0Eaik_MKVEJViw_6_2"/>
      <w:bookmarkStart w:id="2030" w:name="Tc_DF9mOARNZk2z9dsCkUx34g_6_0"/>
      <w:bookmarkStart w:id="2031" w:name="Tc_qHc5bvo0_0WABGtR40xpTQ_5_0"/>
      <w:bookmarkStart w:id="2032" w:name="Tc_hQWeTzyBDE-ACAQ18AdT6Q_3_7"/>
      <w:bookmarkStart w:id="2033" w:name="Tc_Hi7VQ4p23EyNSBCD7NQxeg_3_4"/>
      <w:bookmarkStart w:id="2034" w:name="Tc_zbQZp7bqeE-wBbaPt549Ug_3_2"/>
      <w:bookmarkStart w:id="2035" w:name="Tc_eidyfgS4ykS7rUSipt2dpg_3_0"/>
      <w:bookmarkStart w:id="2036" w:name="Tc_bvTJ0SL89E-YITx1Ptk8Yg_2_7"/>
      <w:bookmarkStart w:id="2037" w:name="Tc_YUvJvTNegESD48ypHVGldA_2_4"/>
      <w:bookmarkStart w:id="2038" w:name="Tc_ueltwWibv0mMzlXVuHkXyA_2_2"/>
      <w:bookmarkStart w:id="2039" w:name="Tc__jBwUBv0kEKp3s68zI1DUg_1_7"/>
      <w:bookmarkStart w:id="2040" w:name="Tc_-_PnnfmXq0i-4O1v1uz4bw_1_4"/>
      <w:bookmarkStart w:id="2041" w:name="Tc_KfCokqo0zESvW3taVEDDJw_1_2"/>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r>
        <w:rPr>
          <w:rFonts w:ascii="Times New Roman;Times;serif" w:hAnsi="Times New Roman;Times;serif"/>
          <w:sz w:val="20"/>
        </w:rPr>
        <w:t>The Company has elected not to s</w:t>
      </w:r>
      <w:r>
        <w:rPr>
          <w:rFonts w:ascii="Times New Roman;Times;serif" w:hAnsi="Times New Roman;Times;serif"/>
          <w:color w:val="252525"/>
          <w:sz w:val="20"/>
        </w:rPr>
        <w:t xml:space="preserve">eparate lease and non-lease components in all asset classes and does not </w:t>
      </w:r>
      <w:r>
        <w:rPr>
          <w:rFonts w:ascii="Times New Roman;Times;serif" w:hAnsi="Times New Roman;Times;serif"/>
          <w:sz w:val="20"/>
        </w:rPr>
        <w:t>recognize ROU assets and lease liabilities for short-term leases with a term of 12 months or less. As of December 27, 2025, the remaining terms of the Company’s operating leases range from one year to twenty-one years, with certain leases offering renewal options of up to ten years. For facilities where lease terms include renewal options that are reasonably certain to be exercised, the extended term is included in the lease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supplemental balance sheet information related to operating leases as of December 27, 2025 and December 28, 2024:</w:t>
      </w:r>
    </w:p>
    <w:p>
      <w:pPr>
        <w:pStyle w:val="TextBody"/>
        <w:bidi w:val="0"/>
        <w:spacing w:before="0" w:after="0"/>
        <w:ind w:left="0" w:right="0" w:hanging="0"/>
        <w:jc w:val="left"/>
        <w:rPr/>
      </w:pPr>
      <w:r>
        <w:rPr/>
        <w:t>​</w:t>
      </w:r>
    </w:p>
    <w:tbl>
      <w:tblPr>
        <w:tblW w:w="8658" w:type="dxa"/>
        <w:jc w:val="left"/>
        <w:tblInd w:w="0" w:type="dxa"/>
        <w:tblLayout w:type="fixed"/>
        <w:tblCellMar>
          <w:top w:w="0" w:type="dxa"/>
          <w:left w:w="0" w:type="dxa"/>
          <w:bottom w:w="0" w:type="dxa"/>
          <w:right w:w="0" w:type="dxa"/>
        </w:tblCellMar>
      </w:tblPr>
      <w:tblGrid>
        <w:gridCol w:w="3181"/>
        <w:gridCol w:w="146"/>
        <w:gridCol w:w="2551"/>
        <w:gridCol w:w="109"/>
        <w:gridCol w:w="252"/>
        <w:gridCol w:w="888"/>
        <w:gridCol w:w="346"/>
        <w:gridCol w:w="234"/>
        <w:gridCol w:w="951"/>
      </w:tblGrid>
      <w:tr>
        <w:trPr/>
        <w:tc>
          <w:tcPr>
            <w:tcW w:w="31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Consolidated Balance</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31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Sheets location</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ROU assets</w:t>
            </w:r>
          </w:p>
        </w:tc>
        <w:tc>
          <w:tcPr>
            <w:tcW w:w="146" w:type="dxa"/>
            <w:tcBorders/>
            <w:shd w:fill="CCEEFF" w:val="clear"/>
            <w:vAlign w:val="center"/>
          </w:tcPr>
          <w:p>
            <w:pPr>
              <w:pStyle w:val="TableContents"/>
              <w:bidi w:val="0"/>
              <w:spacing w:before="0" w:after="1"/>
              <w:ind w:left="0" w:right="0" w:hanging="0"/>
              <w:jc w:val="left"/>
              <w:rPr/>
            </w:pPr>
            <w:r>
              <w:rPr/>
              <w:t> </w:t>
            </w:r>
          </w:p>
        </w:tc>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139,857</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146,916</w:t>
            </w:r>
          </w:p>
        </w:tc>
      </w:tr>
      <w:tr>
        <w:trPr/>
        <w:tc>
          <w:tcPr>
            <w:tcW w:w="31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146" w:type="dxa"/>
            <w:tcBorders/>
            <w:shd w:fill="CCEEFF" w:val="clear"/>
            <w:vAlign w:val="center"/>
          </w:tcPr>
          <w:p>
            <w:pPr>
              <w:pStyle w:val="TableContents"/>
              <w:bidi w:val="0"/>
              <w:spacing w:before="0" w:after="1"/>
              <w:ind w:left="0" w:right="0" w:hanging="0"/>
              <w:jc w:val="left"/>
              <w:rPr/>
            </w:pPr>
            <w:r>
              <w:rPr/>
              <w:t> </w:t>
            </w:r>
          </w:p>
        </w:tc>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21,818</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22,446</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operating lease liabilities</w:t>
            </w:r>
          </w:p>
        </w:tc>
        <w:tc>
          <w:tcPr>
            <w:tcW w:w="146" w:type="dxa"/>
            <w:tcBorders/>
            <w:vAlign w:val="center"/>
          </w:tcPr>
          <w:p>
            <w:pPr>
              <w:pStyle w:val="TableContents"/>
              <w:bidi w:val="0"/>
              <w:spacing w:before="0" w:after="1"/>
              <w:ind w:left="0" w:right="0" w:hanging="0"/>
              <w:jc w:val="left"/>
              <w:rPr/>
            </w:pPr>
            <w:r>
              <w:rPr/>
              <w:t> </w:t>
            </w:r>
          </w:p>
        </w:tc>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130,007</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134,534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lease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151,825</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156,980</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Lease costs and other information related to the Company’s operating leases as of and for the fiscal years ended December 27, 2025 and December 28, 2024 were as follows:</w:t>
      </w:r>
    </w:p>
    <w:p>
      <w:pPr>
        <w:pStyle w:val="TextBody"/>
        <w:bidi w:val="0"/>
        <w:spacing w:before="0" w:after="0"/>
        <w:ind w:left="0" w:right="0" w:hanging="0"/>
        <w:jc w:val="left"/>
        <w:rPr/>
      </w:pPr>
      <w:r>
        <w:rPr/>
        <w:t>​</w:t>
      </w:r>
    </w:p>
    <w:tbl>
      <w:tblPr>
        <w:tblW w:w="6606" w:type="dxa"/>
        <w:jc w:val="left"/>
        <w:tblInd w:w="0" w:type="dxa"/>
        <w:tblLayout w:type="fixed"/>
        <w:tblCellMar>
          <w:top w:w="0" w:type="dxa"/>
          <w:left w:w="0" w:type="dxa"/>
          <w:bottom w:w="0" w:type="dxa"/>
          <w:right w:w="0" w:type="dxa"/>
        </w:tblCellMar>
      </w:tblPr>
      <w:tblGrid>
        <w:gridCol w:w="3826"/>
        <w:gridCol w:w="346"/>
        <w:gridCol w:w="280"/>
        <w:gridCol w:w="860"/>
        <w:gridCol w:w="109"/>
        <w:gridCol w:w="275"/>
        <w:gridCol w:w="910"/>
      </w:tblGrid>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33,269</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30,154</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related to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32,749</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29,603</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obtained in exchange for lease liabilities</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23,577</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10,613</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remaining lease term</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 yrs</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 yrs</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discount rate</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Total lease cost also includes approximately $4,700 for short-term lease costs and approximately $7,500 for variable lease costs in fiscal 2025 which are excluded from operating lease cost above.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Maturities of operating lease liabilities as of December 27, 2025 were as follows:</w:t>
      </w:r>
    </w:p>
    <w:tbl>
      <w:tblPr>
        <w:tblW w:w="3427" w:type="dxa"/>
        <w:jc w:val="left"/>
        <w:tblInd w:w="0" w:type="dxa"/>
        <w:tblLayout w:type="fixed"/>
        <w:tblCellMar>
          <w:top w:w="0" w:type="dxa"/>
          <w:left w:w="0" w:type="dxa"/>
          <w:bottom w:w="0" w:type="dxa"/>
          <w:right w:w="0" w:type="dxa"/>
        </w:tblCellMar>
      </w:tblPr>
      <w:tblGrid>
        <w:gridCol w:w="2326"/>
        <w:gridCol w:w="109"/>
        <w:gridCol w:w="196"/>
        <w:gridCol w:w="796"/>
      </w:tblGrid>
      <w:tr>
        <w:trPr/>
        <w:tc>
          <w:tcPr>
            <w:tcW w:w="2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28,148</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23,058</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19,231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15,879</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14,300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103,955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204,571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Present value adjustment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52,746</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Present value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151,825</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2042" w:name="a20BUSINESSSEGMENTS_941590"/>
      <w:bookmarkEnd w:id="2042"/>
      <w:r>
        <w:rPr>
          <w:rFonts w:ascii="Times New Roman;Times;serif" w:hAnsi="Times New Roman;Times;serif"/>
          <w:b/>
          <w:sz w:val="20"/>
        </w:rPr>
        <w:t>(20) BUSINESS 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chief operating decision maker (“CODM”) is the President and Chief Executive Officer. The CODM uses operating income as the profit measure to evaluate segment performance and allocate resources across segments. The CODM also uses operating income as an input to the overall compensation measures under the Company’s incentive compensation plans. Segment selling, general, and administrative expenses include certain corporate expense allocations, typically based on employee headcounts and sales volumes. For segment reporting purposes, the Company excludes unallocated corporate general and administrative expenses, interest expenses, non-operating income and deductions, and income taxes from operating income. The accounting policies for the reportable segments are consistent with those described in Note 1.</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bookmarkStart w:id="2043" w:name="Tc_ZJMTUQSqDE2_XUyT--5dyw_14_8"/>
      <w:bookmarkStart w:id="2044" w:name="Tc_2ciJkccMFUqHqgaNXSwFYw_14_0"/>
      <w:bookmarkStart w:id="2045" w:name="Tc_OQVusg5_QkaOm9UiLUdAsw_13_0"/>
      <w:bookmarkStart w:id="2046" w:name="Tc_03V3ijG9DUy7YNvneViH0w_12_0"/>
      <w:bookmarkStart w:id="2047" w:name="Tc_rKZbcf4HqkyLeDj6atLDpw_11_5"/>
      <w:bookmarkStart w:id="2048" w:name="Tc_qctgssQ0Oked_-8gsDbF0g_11_2"/>
      <w:bookmarkStart w:id="2049" w:name="Tc_ok8bD8Yv_EWKzmMTIYMwNQ_11_0"/>
      <w:bookmarkStart w:id="2050" w:name="Tc_P1jP9wR3N0q8CSzWbnKbXg_10_0"/>
      <w:bookmarkStart w:id="2051" w:name="Tc_Wzg7DbWJG0aOhB5P3L-Trg_9_0"/>
      <w:bookmarkStart w:id="2052" w:name="Tc_6UYJn4mYekG41aFZpUbMbQ_8_0"/>
      <w:bookmarkStart w:id="2053" w:name="Tc_WOgVfHQB_0u6RQYO5mqAvA_7_0"/>
      <w:bookmarkStart w:id="2054" w:name="Tc_ifevy9BkPEWmg7S8cfbgTA_6_0"/>
      <w:bookmarkStart w:id="2055" w:name="Tc_ORGqCCf_d02WOlW_uK7UPw_5_0"/>
      <w:bookmarkStart w:id="2056" w:name="Tc_WdoN7C2G0UWXATN8t3Whqw_4_0"/>
      <w:bookmarkStart w:id="2057" w:name="Tc_B4tvly0_HUyDqCAkq2aOTg_3_8"/>
      <w:bookmarkStart w:id="2058" w:name="Tc_DdxggUrZCUGQiWV8965mzg_3_5"/>
      <w:bookmarkStart w:id="2059" w:name="Tc_Icnoq5zR00KTbawB-p11Sg_3_2"/>
      <w:bookmarkStart w:id="2060" w:name="Tc_-FwsPuT54E6DE6HafKnYIA_3_0"/>
      <w:bookmarkStart w:id="2061" w:name="Tc_epwlDOetXUiuqQrfQQDpOg_2_8"/>
      <w:bookmarkStart w:id="2062" w:name="Tc_PQxqIMPpH06uyP6JOW0Jyg_2_5"/>
      <w:bookmarkStart w:id="2063" w:name="Tc_ryuD3Lyje0q9OUTJX6Mg_w_2_2"/>
      <w:bookmarkStart w:id="2064" w:name="Tc_W8JcMBZ1m0SHARAgtBXz0w_1_2"/>
      <w:bookmarkStart w:id="2065" w:name="_179b91e8_7863_4941_abe5_1f2c19e920d4"/>
      <w:bookmarkStart w:id="2066" w:name="Tc_CQMgRsFZvkWKlp9YPpnAXw_11_8"/>
      <w:bookmarkStart w:id="2067" w:name="Tc_Xt_6MsLZkk2L_pMi7yqenA_11_0"/>
      <w:bookmarkStart w:id="2068" w:name="Tc_inio8l7WNUC4T7B5VQvy_g_10_0"/>
      <w:bookmarkStart w:id="2069" w:name="Tc_t25Cm5RrNUyqEkuR8YzP3A_9_5"/>
      <w:bookmarkStart w:id="2070" w:name="Tc_sEF2pE9vY0Ss1ZBtva8Sgw_9_2"/>
      <w:bookmarkStart w:id="2071" w:name="Tc_piz1CWwal02uJzErtOlZgA_9_0"/>
      <w:bookmarkStart w:id="2072" w:name="Tc_Kd4eIihSN0i8Zn3RQe4J0w_8_0"/>
      <w:bookmarkStart w:id="2073" w:name="Tc_eHG-SSZzM0-o5FQVSiqMFA_7_0"/>
      <w:bookmarkStart w:id="2074" w:name="Tc_j3yXG2jssUGVdEYNCAY8XQ_6_0"/>
      <w:bookmarkStart w:id="2075" w:name="Tc_tfHfk_lUt0Kb7e81ai3WkA_5_0"/>
      <w:bookmarkStart w:id="2076" w:name="Tc_1gogMDxQv0i8Q0MNHSS4AA_4_0"/>
      <w:bookmarkStart w:id="2077" w:name="Tc_n1dJN7yqs0adHXNAfJ__Ug_3_8"/>
      <w:bookmarkStart w:id="2078" w:name="Tc_bI0BatgQk0COFlWSYNyhXQ_3_5"/>
      <w:bookmarkStart w:id="2079" w:name="Tc_IpIb3VxjM0e7iu94J-la2A_3_2"/>
      <w:bookmarkStart w:id="2080" w:name="Tc_VOukoEDQdUadfW4v9rz5HA_3_0"/>
      <w:bookmarkStart w:id="2081" w:name="Tc_0q3TKeiJqkiIVvNwILMLew_2_8"/>
      <w:bookmarkStart w:id="2082" w:name="Tc_TGyrhg7S0EmJloqMc8fTng_2_5"/>
      <w:bookmarkStart w:id="2083" w:name="Tc_ilJCsbDGyUaxR4SNx5tOcg_2_2"/>
      <w:bookmarkStart w:id="2084" w:name="Tc_6M4Obf2mxky2iLziq_fKog_1_2"/>
      <w:bookmarkStart w:id="2085" w:name="_cf91682e_a175_490a_998f_50b6f84453c9"/>
      <w:bookmarkStart w:id="2086" w:name="Tc_FYE-WtLBa02EfcsdHgZzCQ_14_8"/>
      <w:bookmarkStart w:id="2087" w:name="Tc_SMnQE13UGk6Ei-264H7hCg_14_0"/>
      <w:bookmarkStart w:id="2088" w:name="Tc_aUjM-LQgFUC57N76Gh_vsQ_13_0"/>
      <w:bookmarkStart w:id="2089" w:name="Tc_IpXC4lUly0C9vMPTdSC2mA_12_0"/>
      <w:bookmarkStart w:id="2090" w:name="Tc_ABYZ_8hXZkmyunNBcjgcZw_11_5"/>
      <w:bookmarkStart w:id="2091" w:name="Tc_RdiGa2s3AUGMppAdSRisfQ_11_2"/>
      <w:bookmarkStart w:id="2092" w:name="Tc_k3Qc792CYkmVqqeYXZ-N6w_11_0"/>
      <w:bookmarkStart w:id="2093" w:name="Tc_OVbbkt2kKU6EyQkmyZWPyQ_10_0"/>
      <w:bookmarkStart w:id="2094" w:name="Tc_zKS9LPP-eESP_MsD28eOQw_9_0"/>
      <w:bookmarkStart w:id="2095" w:name="Tc_54V5HigFZ0Kat97vh1uMAQ_8_0"/>
      <w:bookmarkStart w:id="2096" w:name="Tc_YgwqK947eEe3UhpqAax2tQ_7_0"/>
      <w:bookmarkStart w:id="2097" w:name="Tc_V3kEigQ0XUWkETLL0TR1RQ_6_0"/>
      <w:bookmarkStart w:id="2098" w:name="Tc_y7Jr-nA0eECE9Sh5O-XlhQ_5_0"/>
      <w:bookmarkStart w:id="2099" w:name="Tc_AOZnqe3gyEq7wklrqkthrg_4_0"/>
      <w:bookmarkStart w:id="2100" w:name="Tc_IeeynDWMWUiu7ek50HVIdg_3_8"/>
      <w:bookmarkStart w:id="2101" w:name="Tc_8t-6GZK_zESK45JfSQyYag_3_5"/>
      <w:bookmarkStart w:id="2102" w:name="Tc_I6eBl2pBUkeIcA46V3hesw_3_2"/>
      <w:bookmarkStart w:id="2103" w:name="Tc_sNFyrjy29EqvBQvVEbEGPA_3_0"/>
      <w:bookmarkStart w:id="2104" w:name="Tc_pm89ihPfOkCvdOeZiS-uaQ_2_8"/>
      <w:bookmarkStart w:id="2105" w:name="Tc_39icnltpskKpxSk-aGzpUw_2_5"/>
      <w:bookmarkStart w:id="2106" w:name="Tc_fMFCyROIV0KvEXUQ7aNsCw_2_2"/>
      <w:bookmarkStart w:id="2107" w:name="Tc_CgZCiicwHkmqNmc3yNfDmQ_1_2"/>
      <w:bookmarkStart w:id="2108" w:name="_cab07379_6a7f_463e_84a6_7cc6570d214b"/>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r>
        <w:rPr>
          <w:rFonts w:ascii="Times New Roman;Times;serif" w:hAnsi="Times New Roman;Times;serif"/>
          <w:sz w:val="20"/>
        </w:rPr>
        <w:t>The reportable segments are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Infrastructure</w:t>
      </w:r>
      <w:r>
        <w:rPr>
          <w:rFonts w:ascii="Times New Roman;Times;serif" w:hAnsi="Times New Roman;Times;serif"/>
          <w:sz w:val="20"/>
        </w:rPr>
        <w:t>: This segment consists of the manufacture and distribution of products and solutions to serve the infrastructure markets of utility, lighting, transportation, telecommunications, and solar, along with coatings services to protect metal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Agriculture</w:t>
      </w:r>
      <w:r>
        <w:rPr>
          <w:rFonts w:ascii="Times New Roman;Times;serif" w:hAnsi="Times New Roman;Times;serif"/>
          <w:sz w:val="20"/>
        </w:rPr>
        <w:t>: This segment consists of the manufacture of center pivot and linear irrigation equipment components for agricultural markets, including aftermarket parts and tubular products, and advanced technology solutions for precision agriculture.</w:t>
      </w:r>
    </w:p>
    <w:p>
      <w:pPr>
        <w:pStyle w:val="TextBody"/>
        <w:bidi w:val="0"/>
        <w:spacing w:lineRule="atLeast" w:line="240" w:before="0" w:after="240"/>
        <w:ind w:left="720" w:right="0" w:hanging="0"/>
        <w:jc w:val="left"/>
        <w:rPr>
          <w:rFonts w:ascii="Times New Roman;Times;serif" w:hAnsi="Times New Roman;Times;serif"/>
          <w:b/>
          <w:i/>
          <w:sz w:val="20"/>
        </w:rPr>
      </w:pPr>
      <w:r>
        <w:rPr>
          <w:rFonts w:ascii="Times New Roman;Times;serif" w:hAnsi="Times New Roman;Times;serif"/>
          <w:b/>
          <w:i/>
          <w:sz w:val="20"/>
        </w:rPr>
        <w:t>Summary by Business Segment</w:t>
      </w:r>
    </w:p>
    <w:p>
      <w:pPr>
        <w:pStyle w:val="TextBody"/>
        <w:bidi w:val="0"/>
        <w:spacing w:before="0" w:after="0"/>
        <w:ind w:left="0" w:right="0" w:hanging="0"/>
        <w:jc w:val="left"/>
        <w:rPr/>
      </w:pPr>
      <w:r>
        <w:rPr/>
        <w:t>​</w:t>
      </w:r>
    </w:p>
    <w:tbl>
      <w:tblPr>
        <w:tblW w:w="7883" w:type="dxa"/>
        <w:jc w:val="left"/>
        <w:tblInd w:w="0" w:type="dxa"/>
        <w:tblLayout w:type="fixed"/>
        <w:tblCellMar>
          <w:top w:w="0" w:type="dxa"/>
          <w:left w:w="0" w:type="dxa"/>
          <w:bottom w:w="0" w:type="dxa"/>
          <w:right w:w="0" w:type="dxa"/>
        </w:tblCellMar>
      </w:tblPr>
      <w:tblGrid>
        <w:gridCol w:w="3526"/>
        <w:gridCol w:w="346"/>
        <w:gridCol w:w="227"/>
        <w:gridCol w:w="959"/>
        <w:gridCol w:w="346"/>
        <w:gridCol w:w="196"/>
        <w:gridCol w:w="826"/>
        <w:gridCol w:w="346"/>
        <w:gridCol w:w="204"/>
        <w:gridCol w:w="907"/>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01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 December 27, 2025</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3,099,034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1,020,750</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4,119,784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(6,380)</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(15,682)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3,089,732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1,014,370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4,104,102</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2,164,098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700,068</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2,864,166</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925,634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314,302</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1,239,936</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398,504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217,359</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615,863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2,886</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10,486</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430,174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92,076</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522,250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101,770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realignment charges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415,576</w:t>
            </w:r>
          </w:p>
        </w:tc>
      </w:tr>
    </w:tbl>
    <w:p>
      <w:pPr>
        <w:pStyle w:val="TextBody"/>
        <w:bidi w:val="0"/>
        <w:spacing w:before="0" w:after="240"/>
        <w:ind w:left="0" w:right="0" w:hanging="0"/>
        <w:jc w:val="left"/>
        <w:rPr>
          <w:shd w:fill="FFFF00" w:val="clear"/>
        </w:rPr>
      </w:pPr>
      <w:r>
        <w:rPr>
          <w:shd w:fill="FFFF00" w:val="clear"/>
        </w:rPr>
        <w:t>​</w:t>
      </w:r>
    </w:p>
    <w:tbl>
      <w:tblPr>
        <w:tblW w:w="7883" w:type="dxa"/>
        <w:jc w:val="left"/>
        <w:tblInd w:w="0" w:type="dxa"/>
        <w:tblLayout w:type="fixed"/>
        <w:tblCellMar>
          <w:top w:w="0" w:type="dxa"/>
          <w:left w:w="0" w:type="dxa"/>
          <w:bottom w:w="0" w:type="dxa"/>
          <w:right w:w="0" w:type="dxa"/>
        </w:tblCellMar>
      </w:tblPr>
      <w:tblGrid>
        <w:gridCol w:w="3526"/>
        <w:gridCol w:w="346"/>
        <w:gridCol w:w="227"/>
        <w:gridCol w:w="959"/>
        <w:gridCol w:w="346"/>
        <w:gridCol w:w="196"/>
        <w:gridCol w:w="826"/>
        <w:gridCol w:w="346"/>
        <w:gridCol w:w="204"/>
        <w:gridCol w:w="907"/>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01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 December 28, 2024</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3,008,576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1,083,708</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4,092,284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(10,195)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(7,055)</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(17,250)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2,998,381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1,076,653</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4,075,034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2,094,645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739,177</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2,833,822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903,736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337,476</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1,241,212</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406,596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199,140</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605,736</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497,140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138,336</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635,476</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110,892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524,584</w:t>
            </w:r>
          </w:p>
        </w:tc>
      </w:tr>
    </w:tbl>
    <w:p>
      <w:pPr>
        <w:pStyle w:val="TextBody"/>
        <w:bidi w:val="0"/>
        <w:spacing w:before="0" w:after="240"/>
        <w:ind w:left="0" w:right="0" w:hanging="0"/>
        <w:jc w:val="left"/>
        <w:rPr>
          <w:shd w:fill="FFFF00" w:val="clear"/>
        </w:rPr>
      </w:pPr>
      <w:r>
        <w:rPr>
          <w:shd w:fill="FFFF00" w:val="clear"/>
        </w:rPr>
        <w:t>​</w:t>
      </w:r>
    </w:p>
    <w:tbl>
      <w:tblPr>
        <w:tblW w:w="7883" w:type="dxa"/>
        <w:jc w:val="left"/>
        <w:tblInd w:w="0" w:type="dxa"/>
        <w:tblLayout w:type="fixed"/>
        <w:tblCellMar>
          <w:top w:w="0" w:type="dxa"/>
          <w:left w:w="0" w:type="dxa"/>
          <w:bottom w:w="0" w:type="dxa"/>
          <w:right w:w="0" w:type="dxa"/>
        </w:tblCellMar>
      </w:tblPr>
      <w:tblGrid>
        <w:gridCol w:w="3526"/>
        <w:gridCol w:w="346"/>
        <w:gridCol w:w="227"/>
        <w:gridCol w:w="959"/>
        <w:gridCol w:w="346"/>
        <w:gridCol w:w="196"/>
        <w:gridCol w:w="826"/>
        <w:gridCol w:w="346"/>
        <w:gridCol w:w="204"/>
        <w:gridCol w:w="907"/>
      </w:tblGrid>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01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 December 30, 2023</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3,010,067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1,182,223</w:t>
            </w:r>
          </w:p>
        </w:tc>
        <w:tc>
          <w:tcPr>
            <w:tcW w:w="34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4,192,290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Intersegment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(7,262)</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2,999,637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1,174,961</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4,174,598</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2,157,556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781,008</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2,938,564</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842,081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393,953</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1,236,034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(a)</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424,997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230,729</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655,726</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137,273</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140,844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9,101</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26,361</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396,253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16,850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413,103</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expenses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112,697</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realignment charges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income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291,557</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2109" w:name="Tc_PeW_5a61nEC-0GHb6XX7ZA_16_11"/>
      <w:bookmarkStart w:id="2110" w:name="Tc_Ugdk_UBGSkWgfKtDi2a6WQ_16_8"/>
      <w:bookmarkStart w:id="2111" w:name="Tc_DG6076g6MUqrssOG-hM1vQ_16_5"/>
      <w:bookmarkStart w:id="2112" w:name="Tc_AJAAP3ena065jxOZW91-bg_16_2"/>
      <w:bookmarkStart w:id="2113" w:name="Tc_F4UzFBMtP0GihvWNB_hKuQ_16_0"/>
      <w:bookmarkStart w:id="2114" w:name="Tc_FxXzdwKbG0mtCfejFZlSug_15_9"/>
      <w:bookmarkStart w:id="2115" w:name="Tc_xm2pby-X4EGAxlEBr4BYqQ_15_3"/>
      <w:bookmarkStart w:id="2116" w:name="Tc_K-UoLenQzkiGNhNp_MuOjg_15_0"/>
      <w:bookmarkStart w:id="2117" w:name="Tc_8bA3KLZ4n06czcVuCpvFYw_14_3"/>
      <w:bookmarkStart w:id="2118" w:name="Tc_fjJotbuYVEiH-wHtiS8oJg_14_0"/>
      <w:bookmarkStart w:id="2119" w:name="Tc_T5xFYtPRTU6jSAgjPxBeOA_13_6"/>
      <w:bookmarkStart w:id="2120" w:name="Tc_7Wcii7gqzU-qWXI8OduEKQ_13_0"/>
      <w:bookmarkStart w:id="2121" w:name="Tc_dYn4P9B0c0u7vP8976P-dQ_12_9"/>
      <w:bookmarkStart w:id="2122" w:name="Tc_Uj3iau3iikWZMmHlObbyeg_12_6"/>
      <w:bookmarkStart w:id="2123" w:name="Tc_YCm9S5A7Akap-bLV40Gk8w_12_0"/>
      <w:bookmarkStart w:id="2124" w:name="Tc_6XNS4IlCg0GNzF7Fe67I8w_11_6"/>
      <w:bookmarkStart w:id="2125" w:name="Tc_5dz4jiySLE-haU7qLFH9PQ_11_0"/>
      <w:bookmarkStart w:id="2126" w:name="Tc_pISEIBmZm0WpaO11bhnIYw_10_9"/>
      <w:bookmarkStart w:id="2127" w:name="Tc_f-t1xduYE0SnTnzW7s2FQA_10_6"/>
      <w:bookmarkStart w:id="2128" w:name="Tc_mgRq8WEMUkKZQkMoonsd1g_10_0"/>
      <w:bookmarkStart w:id="2129" w:name="Tc_qRlUyC4UT06-KJyvMMy7SA_9_11"/>
      <w:bookmarkStart w:id="2130" w:name="Tc_O-Ba0EG-wE2vQ1y1wjuhDA_9_9"/>
      <w:bookmarkStart w:id="2131" w:name="Tc_0uuDFT4CV0SjtaXE4fyoKg_9_8"/>
      <w:bookmarkStart w:id="2132" w:name="Tc_egkC2_6y3UStR_eQwoTSTg_9_6"/>
      <w:bookmarkStart w:id="2133" w:name="Tc_BBecyoiGSk6PFFyjcva8mw_9_5"/>
      <w:bookmarkStart w:id="2134" w:name="Tc_uAySFvBxJUmTILyz6tmY1w_9_2"/>
      <w:bookmarkStart w:id="2135" w:name="Tc_UO3NxbhR7USPtk_oib9keg_9_0"/>
      <w:bookmarkStart w:id="2136" w:name="Tc_qQ_Ga0GG8E6Vij5fOUCNrg_8_0"/>
      <w:bookmarkStart w:id="2137" w:name="Tc_5-6__Di91U6pEc8hNK7_8Q_6_11"/>
      <w:bookmarkStart w:id="2138" w:name="Tc_CJgnKWiNG0erEOpcHeXcSQ_6_8"/>
      <w:bookmarkStart w:id="2139" w:name="Tc_u4eLr_l6C0eNpW2vp7Sc4g_6_5"/>
      <w:bookmarkStart w:id="2140" w:name="Tc_2hSLDJM6_UmRzYBDowaHZg_6_2"/>
      <w:bookmarkStart w:id="2141" w:name="Tc_Vog9DydyQkORvTOALGKang_6_0"/>
      <w:bookmarkStart w:id="2142" w:name="Tc_r0zfNbn680qLmkuI_mFNxw_5_0"/>
      <w:bookmarkStart w:id="2143" w:name="Tc_WMBCB9LviEm943-6keYYIA_4_11"/>
      <w:bookmarkStart w:id="2144" w:name="Tc_t4xQM_be_kW-Z4z4IccTBQ_4_8"/>
      <w:bookmarkStart w:id="2145" w:name="Tc_RGOAtrOWhkGm7lN1aNQW9A_4_5"/>
      <w:bookmarkStart w:id="2146" w:name="Tc__B4wvuJtZU24amdNjTYdhQ_4_2"/>
      <w:bookmarkStart w:id="2147" w:name="Tc_Ad_B5diB10OvruFCFTWkcQ_4_0"/>
      <w:bookmarkStart w:id="2148" w:name="Tc_7hWO5xdXH0OwynNnsZLXQA_3_0"/>
      <w:bookmarkStart w:id="2149" w:name="Tc_wpRAwe4jbUmUJtDFx7pxLg_2_11"/>
      <w:bookmarkStart w:id="2150" w:name="Tc_-gHOIptllEOEXwi2yguiWw_2_8"/>
      <w:bookmarkStart w:id="2151" w:name="Tc_xuzZmxC_NEmRaljkEFKgYg_2_5"/>
      <w:bookmarkStart w:id="2152" w:name="Tc_G-8jBFTZ9UK0GYVhQU3KtQ_2_2"/>
      <w:bookmarkStart w:id="2153" w:name="Tc_8Ra22xNXjkqjQ-8EfBrScw_1_2"/>
      <w:bookmarkStart w:id="2154" w:name="_f7005127_8bfe_475b_98ff_f93304bffa11"/>
      <w:bookmarkStart w:id="2155" w:name="Tc_Ch3zNvDoekWA3L1JMo_WcA_16_11"/>
      <w:bookmarkStart w:id="2156" w:name="Tc_ps2ihYFB00O6B6NZPXceIw_16_8"/>
      <w:bookmarkStart w:id="2157" w:name="Tc__YyZtbHKgkuGH9Zgbj7T3Q_16_5"/>
      <w:bookmarkStart w:id="2158" w:name="Tc_2mkL76UXW0yfF7W7WBrlMw_16_2"/>
      <w:bookmarkStart w:id="2159" w:name="Tc_CmOXbe9gF0akjuQ_VRs2dQ_16_0"/>
      <w:bookmarkStart w:id="2160" w:name="Tc_P_3DexDZUEOcUuIv1pbLUw_15_9"/>
      <w:bookmarkStart w:id="2161" w:name="Tc_bUsDf7oJW0Cdk-9sIeEG5Q_15_3"/>
      <w:bookmarkStart w:id="2162" w:name="Tc_EOqu3Aats06k-fHN5L-XLQ_15_0"/>
      <w:bookmarkStart w:id="2163" w:name="Tc_epRukEnQZUCJRQTSsEkuMA_14_3"/>
      <w:bookmarkStart w:id="2164" w:name="Tc_a8H-7jzEcketd9itxmddjQ_14_0"/>
      <w:bookmarkStart w:id="2165" w:name="Tc_3OKRSyqVGUmV7wcWsz2LKg_13_6"/>
      <w:bookmarkStart w:id="2166" w:name="Tc_ihqbrHsr602AFivF8_Gwhw_13_0"/>
      <w:bookmarkStart w:id="2167" w:name="Tc_N0xxiXWVskSGw0A_a1-pnA_12_9"/>
      <w:bookmarkStart w:id="2168" w:name="Tc_zTRDdGNs_0asWMqRRtlX1Q_12_6"/>
      <w:bookmarkStart w:id="2169" w:name="Tc_S_r3pxksBEOpQXuzcTq11Q_12_0"/>
      <w:bookmarkStart w:id="2170" w:name="Tc_FzA5AKJ9oUW_1vHHxjII_w_11_6"/>
      <w:bookmarkStart w:id="2171" w:name="Tc_ZGP6-u2r9ECM79rEfzt39g_11_0"/>
      <w:bookmarkStart w:id="2172" w:name="Tc_uucAJtk8zEiIaYE0tv-h0w_10_9"/>
      <w:bookmarkStart w:id="2173" w:name="Tc_G5JvSm_CwkSIAcKC58y2RA_10_6"/>
      <w:bookmarkStart w:id="2174" w:name="Tc_MWggyUh49UiAkX9Bc5jYxw_10_0"/>
      <w:bookmarkStart w:id="2175" w:name="Tc__ZOYG12ptUiHeYor0EBf8Q_9_11"/>
      <w:bookmarkStart w:id="2176" w:name="Tc_uiwpnhBl2UCxH31-0Rn_NQ_9_9"/>
      <w:bookmarkStart w:id="2177" w:name="Tc_lrOocxwhX0KimmuldZGy0Q_9_8"/>
      <w:bookmarkStart w:id="2178" w:name="Tc_FSu5Rj5Fg0OMnqbxFtHsug_9_6"/>
      <w:bookmarkStart w:id="2179" w:name="Tc_3EXAqZuLykqIyfXWgDHYmg_9_5"/>
      <w:bookmarkStart w:id="2180" w:name="Tc_FcJyKSJlVkK_h1PIhS7cNA_9_2"/>
      <w:bookmarkStart w:id="2181" w:name="Tc_qktkISeANkGiylwccCRruw_9_0"/>
      <w:bookmarkStart w:id="2182" w:name="Tc_c97dvgytI0yIbTNb6ke78Q_8_0"/>
      <w:bookmarkStart w:id="2183" w:name="Tc_vYnBXMPyeUqUU0h5bAzS_w_6_11"/>
      <w:bookmarkStart w:id="2184" w:name="Tc_TQ5EMOojL0aTIJM4nP-PBA_6_8"/>
      <w:bookmarkStart w:id="2185" w:name="Tc_BlhIRQeAyEiKuEH9x2HOXA_6_5"/>
      <w:bookmarkStart w:id="2186" w:name="Tc_w1HI9fT7uUaMLUBjPMdjeg_6_2"/>
      <w:bookmarkStart w:id="2187" w:name="Tc_vPH54Pr39EuDYLhX0UfMpQ_6_0"/>
      <w:bookmarkStart w:id="2188" w:name="Tc_Q5s2u8AP60m915um2qhVAg_5_0"/>
      <w:bookmarkStart w:id="2189" w:name="Tc_gxI7SaW9jECIWCmfK3pLCw_4_11"/>
      <w:bookmarkStart w:id="2190" w:name="Tc_MKhx_TGsi0Wg_T1fyWtAqQ_4_8"/>
      <w:bookmarkStart w:id="2191" w:name="Tc_FH1M_JBfeUe_O8VUVlY9yQ_4_5"/>
      <w:bookmarkStart w:id="2192" w:name="Tc_MGjZ_FEzMU6ROX-6yycv5g_4_2"/>
      <w:bookmarkStart w:id="2193" w:name="Tc_74wVHUj2gU-BxHs-gSuLCg_4_0"/>
      <w:bookmarkStart w:id="2194" w:name="Tc_oP4dSM0zFkSQHyDWEK6rMg_3_0"/>
      <w:bookmarkStart w:id="2195" w:name="Tc_ERyHJiDq30Kmbp7MsRuAlA_2_11"/>
      <w:bookmarkStart w:id="2196" w:name="Tc_xlNP9t-zz0yHmnUSD97AOw_2_8"/>
      <w:bookmarkStart w:id="2197" w:name="Tc_kSxtoGP6PkupG5-NzFrt1A_2_5"/>
      <w:bookmarkStart w:id="2198" w:name="Tc_UWxqi0jHW0-28O8QnTEh8g_2_2"/>
      <w:bookmarkStart w:id="2199" w:name="Tc_YGTADH_2S0aUo8UtSbWy4Q_1_2"/>
      <w:bookmarkStart w:id="2200" w:name="_54f61249_8962_488c_91af_707699b8a76e"/>
      <w:bookmarkStart w:id="2201" w:name="Tc_KcYag4cvlUqHpw9vIA5kyg_16_11"/>
      <w:bookmarkStart w:id="2202" w:name="Tc_w2IiSKyOokuFJQw_MMm34Q_16_8"/>
      <w:bookmarkStart w:id="2203" w:name="Tc_VGFc8qPJx0SM9U7h2fob4Q_16_5"/>
      <w:bookmarkStart w:id="2204" w:name="Tc_rPlaZzfVmEqiVEwRoEIpPQ_16_2"/>
      <w:bookmarkStart w:id="2205" w:name="Tc_SkqdnXFtaUCDgxvGgQzvlg_16_0"/>
      <w:bookmarkStart w:id="2206" w:name="Tc_q9X9hIWny0eQG-9L7EcJ-A_15_9"/>
      <w:bookmarkStart w:id="2207" w:name="Tc_HDTBDzFu30WTZIhZboVA6Q_15_3"/>
      <w:bookmarkStart w:id="2208" w:name="Tc_Q_WGkhW4oECZHed6waes1w_15_0"/>
      <w:bookmarkStart w:id="2209" w:name="Tc_PRDAGmwDHEei1PMznMZCCw_14_3"/>
      <w:bookmarkStart w:id="2210" w:name="Tc_syFQwyUjB0GLNU_7Ez7N0Q_14_0"/>
      <w:bookmarkStart w:id="2211" w:name="Tc_PyLwCax7NEKJcWCM_d161A_13_6"/>
      <w:bookmarkStart w:id="2212" w:name="Tc_zIFkyfN9f0yjtU__-5kpaQ_13_0"/>
      <w:bookmarkStart w:id="2213" w:name="Tc_pNiNR-tCYUi6YyWhT5AZ1A_12_9"/>
      <w:bookmarkStart w:id="2214" w:name="Tc_NGjLAO4iMUWqQexAQ0l_1g_12_6"/>
      <w:bookmarkStart w:id="2215" w:name="Tc_DLODygZpS0q4EAFxPXGS_w_12_0"/>
      <w:bookmarkStart w:id="2216" w:name="Tc_vkFaC3dlD0eB91wj47r-jA_11_6"/>
      <w:bookmarkStart w:id="2217" w:name="Tc_-9LXeLNxdkmUuc_bVFgIqw_11_0"/>
      <w:bookmarkStart w:id="2218" w:name="Tc_F1MZxXO0DUCeUiiUmIfUiA_10_9"/>
      <w:bookmarkStart w:id="2219" w:name="Tc_jV7-Nwv_8067BXNO3jDAEw_10_6"/>
      <w:bookmarkStart w:id="2220" w:name="Tc_MTu4ElcGH0WKGDU5gG2uaQ_10_0"/>
      <w:bookmarkStart w:id="2221" w:name="Tc_JhEOIVAqCkawIiJ_V45JAw_9_11"/>
      <w:bookmarkStart w:id="2222" w:name="Tc_HMRMVmjUCUqXMMMwPxUwbg_9_9"/>
      <w:bookmarkStart w:id="2223" w:name="Tc_nq3IHDbz6UWhJCV3e5In3g_9_8"/>
      <w:bookmarkStart w:id="2224" w:name="Tc_wDJnLmUvOUm36ywxOIxAJg_9_6"/>
      <w:bookmarkStart w:id="2225" w:name="Tc_TdTb61f_bkS25Amdo6iJSw_9_5"/>
      <w:bookmarkStart w:id="2226" w:name="Tc_JIITa83wiE68BwxdbMhqEA_9_2"/>
      <w:bookmarkStart w:id="2227" w:name="Tc_zW5SB6uubkSn48fUS2NxJQ_9_0"/>
      <w:bookmarkStart w:id="2228" w:name="Tc_i2AYtA3_9kWwcttGp-MO4A_8_0"/>
      <w:bookmarkStart w:id="2229" w:name="Tc_3tB9B1FrDEyNJQQAlB3ABg_6_11"/>
      <w:bookmarkStart w:id="2230" w:name="Tc_e7JthQa8Q0GTnfpSQCBKCw_6_8"/>
      <w:bookmarkStart w:id="2231" w:name="Tc_vms_RrNrdkC_J8u98bWABg_6_5"/>
      <w:bookmarkStart w:id="2232" w:name="Tc_UzK3JL2uNkKrXezFy7K7GQ_6_2"/>
      <w:bookmarkStart w:id="2233" w:name="Tc_DMgWeHiar0OsZ-oC2_Gh6Q_6_0"/>
      <w:bookmarkStart w:id="2234" w:name="Tc_PM-cQnCeKU2ErjZ_16xelw_5_0"/>
      <w:bookmarkStart w:id="2235" w:name="Tc_xsD6anB97ECFtuzSIbAX9Q_4_11"/>
      <w:bookmarkStart w:id="2236" w:name="Tc_03q0d9FuFEavAqxrpd2gNA_4_8"/>
      <w:bookmarkStart w:id="2237" w:name="Tc_AohuG_bNsE-xZLtBbaHL0g_4_5"/>
      <w:bookmarkStart w:id="2238" w:name="Tc_nLj9fRmeDE6-QQAYjoTsDw_4_2"/>
      <w:bookmarkStart w:id="2239" w:name="Tc_4terXjwT3k6Jx5hGfQts3g_4_0"/>
      <w:bookmarkStart w:id="2240" w:name="Tc_HFCjH6-3nkqOeU3OkrnJUg_3_0"/>
      <w:bookmarkStart w:id="2241" w:name="Tc_2-7JHpat-kijGzb6UIyLyQ_2_11"/>
      <w:bookmarkStart w:id="2242" w:name="Tc_SqkDeoZdo06BEPBeqD394g_2_8"/>
      <w:bookmarkStart w:id="2243" w:name="Tc_Yd_CEjY1aEqDN5eKYgzc2A_2_5"/>
      <w:bookmarkStart w:id="2244" w:name="Tc_YKHMBGt-3Eq8f8UEaMu-oQ_2_2"/>
      <w:bookmarkStart w:id="2245" w:name="Tc_BmgQdnLB_k-xTMVzPicInQ_1_2"/>
      <w:bookmarkStart w:id="2246" w:name="_2f240c7e_7d7d_4e49_844f_906b56cce1ed"/>
      <w:bookmarkStart w:id="2247" w:name="Tc_PeW_5a61nEC-0GHb6XX7ZA_16_11"/>
      <w:bookmarkStart w:id="2248" w:name="Tc_Ugdk_UBGSkWgfKtDi2a6WQ_16_8"/>
      <w:bookmarkStart w:id="2249" w:name="Tc_DG6076g6MUqrssOG-hM1vQ_16_5"/>
      <w:bookmarkStart w:id="2250" w:name="Tc_AJAAP3ena065jxOZW91-bg_16_2"/>
      <w:bookmarkStart w:id="2251" w:name="Tc_F4UzFBMtP0GihvWNB_hKuQ_16_0"/>
      <w:bookmarkStart w:id="2252" w:name="Tc_FxXzdwKbG0mtCfejFZlSug_15_9"/>
      <w:bookmarkStart w:id="2253" w:name="Tc_xm2pby-X4EGAxlEBr4BYqQ_15_3"/>
      <w:bookmarkStart w:id="2254" w:name="Tc_K-UoLenQzkiGNhNp_MuOjg_15_0"/>
      <w:bookmarkStart w:id="2255" w:name="Tc_8bA3KLZ4n06czcVuCpvFYw_14_3"/>
      <w:bookmarkStart w:id="2256" w:name="Tc_fjJotbuYVEiH-wHtiS8oJg_14_0"/>
      <w:bookmarkStart w:id="2257" w:name="Tc_T5xFYtPRTU6jSAgjPxBeOA_13_6"/>
      <w:bookmarkStart w:id="2258" w:name="Tc_7Wcii7gqzU-qWXI8OduEKQ_13_0"/>
      <w:bookmarkStart w:id="2259" w:name="Tc_dYn4P9B0c0u7vP8976P-dQ_12_9"/>
      <w:bookmarkStart w:id="2260" w:name="Tc_Uj3iau3iikWZMmHlObbyeg_12_6"/>
      <w:bookmarkStart w:id="2261" w:name="Tc_YCm9S5A7Akap-bLV40Gk8w_12_0"/>
      <w:bookmarkStart w:id="2262" w:name="Tc_6XNS4IlCg0GNzF7Fe67I8w_11_6"/>
      <w:bookmarkStart w:id="2263" w:name="Tc_5dz4jiySLE-haU7qLFH9PQ_11_0"/>
      <w:bookmarkStart w:id="2264" w:name="Tc_pISEIBmZm0WpaO11bhnIYw_10_9"/>
      <w:bookmarkStart w:id="2265" w:name="Tc_f-t1xduYE0SnTnzW7s2FQA_10_6"/>
      <w:bookmarkStart w:id="2266" w:name="Tc_mgRq8WEMUkKZQkMoonsd1g_10_0"/>
      <w:bookmarkStart w:id="2267" w:name="Tc_qRlUyC4UT06-KJyvMMy7SA_9_11"/>
      <w:bookmarkStart w:id="2268" w:name="Tc_O-Ba0EG-wE2vQ1y1wjuhDA_9_9"/>
      <w:bookmarkStart w:id="2269" w:name="Tc_0uuDFT4CV0SjtaXE4fyoKg_9_8"/>
      <w:bookmarkStart w:id="2270" w:name="Tc_egkC2_6y3UStR_eQwoTSTg_9_6"/>
      <w:bookmarkStart w:id="2271" w:name="Tc_BBecyoiGSk6PFFyjcva8mw_9_5"/>
      <w:bookmarkStart w:id="2272" w:name="Tc_uAySFvBxJUmTILyz6tmY1w_9_2"/>
      <w:bookmarkStart w:id="2273" w:name="Tc_UO3NxbhR7USPtk_oib9keg_9_0"/>
      <w:bookmarkStart w:id="2274" w:name="Tc_qQ_Ga0GG8E6Vij5fOUCNrg_8_0"/>
      <w:bookmarkStart w:id="2275" w:name="Tc_5-6__Di91U6pEc8hNK7_8Q_6_11"/>
      <w:bookmarkStart w:id="2276" w:name="Tc_CJgnKWiNG0erEOpcHeXcSQ_6_8"/>
      <w:bookmarkStart w:id="2277" w:name="Tc_u4eLr_l6C0eNpW2vp7Sc4g_6_5"/>
      <w:bookmarkStart w:id="2278" w:name="Tc_2hSLDJM6_UmRzYBDowaHZg_6_2"/>
      <w:bookmarkStart w:id="2279" w:name="Tc_Vog9DydyQkORvTOALGKang_6_0"/>
      <w:bookmarkStart w:id="2280" w:name="Tc_r0zfNbn680qLmkuI_mFNxw_5_0"/>
      <w:bookmarkStart w:id="2281" w:name="Tc_WMBCB9LviEm943-6keYYIA_4_11"/>
      <w:bookmarkStart w:id="2282" w:name="Tc_t4xQM_be_kW-Z4z4IccTBQ_4_8"/>
      <w:bookmarkStart w:id="2283" w:name="Tc_RGOAtrOWhkGm7lN1aNQW9A_4_5"/>
      <w:bookmarkStart w:id="2284" w:name="Tc__B4wvuJtZU24amdNjTYdhQ_4_2"/>
      <w:bookmarkStart w:id="2285" w:name="Tc_Ad_B5diB10OvruFCFTWkcQ_4_0"/>
      <w:bookmarkStart w:id="2286" w:name="Tc_7hWO5xdXH0OwynNnsZLXQA_3_0"/>
      <w:bookmarkStart w:id="2287" w:name="Tc_wpRAwe4jbUmUJtDFx7pxLg_2_11"/>
      <w:bookmarkStart w:id="2288" w:name="Tc_-gHOIptllEOEXwi2yguiWw_2_8"/>
      <w:bookmarkStart w:id="2289" w:name="Tc_xuzZmxC_NEmRaljkEFKgYg_2_5"/>
      <w:bookmarkStart w:id="2290" w:name="Tc_G-8jBFTZ9UK0GYVhQU3KtQ_2_2"/>
      <w:bookmarkStart w:id="2291" w:name="Tc_8Ra22xNXjkqjQ-8EfBrScw_1_2"/>
      <w:bookmarkStart w:id="2292" w:name="_f7005127_8bfe_475b_98ff_f93304bffa11"/>
      <w:bookmarkStart w:id="2293" w:name="Tc_Ch3zNvDoekWA3L1JMo_WcA_16_11"/>
      <w:bookmarkStart w:id="2294" w:name="Tc_ps2ihYFB00O6B6NZPXceIw_16_8"/>
      <w:bookmarkStart w:id="2295" w:name="Tc__YyZtbHKgkuGH9Zgbj7T3Q_16_5"/>
      <w:bookmarkStart w:id="2296" w:name="Tc_2mkL76UXW0yfF7W7WBrlMw_16_2"/>
      <w:bookmarkStart w:id="2297" w:name="Tc_CmOXbe9gF0akjuQ_VRs2dQ_16_0"/>
      <w:bookmarkStart w:id="2298" w:name="Tc_P_3DexDZUEOcUuIv1pbLUw_15_9"/>
      <w:bookmarkStart w:id="2299" w:name="Tc_bUsDf7oJW0Cdk-9sIeEG5Q_15_3"/>
      <w:bookmarkStart w:id="2300" w:name="Tc_EOqu3Aats06k-fHN5L-XLQ_15_0"/>
      <w:bookmarkStart w:id="2301" w:name="Tc_epRukEnQZUCJRQTSsEkuMA_14_3"/>
      <w:bookmarkStart w:id="2302" w:name="Tc_a8H-7jzEcketd9itxmddjQ_14_0"/>
      <w:bookmarkStart w:id="2303" w:name="Tc_3OKRSyqVGUmV7wcWsz2LKg_13_6"/>
      <w:bookmarkStart w:id="2304" w:name="Tc_ihqbrHsr602AFivF8_Gwhw_13_0"/>
      <w:bookmarkStart w:id="2305" w:name="Tc_N0xxiXWVskSGw0A_a1-pnA_12_9"/>
      <w:bookmarkStart w:id="2306" w:name="Tc_zTRDdGNs_0asWMqRRtlX1Q_12_6"/>
      <w:bookmarkStart w:id="2307" w:name="Tc_S_r3pxksBEOpQXuzcTq11Q_12_0"/>
      <w:bookmarkStart w:id="2308" w:name="Tc_FzA5AKJ9oUW_1vHHxjII_w_11_6"/>
      <w:bookmarkStart w:id="2309" w:name="Tc_ZGP6-u2r9ECM79rEfzt39g_11_0"/>
      <w:bookmarkStart w:id="2310" w:name="Tc_uucAJtk8zEiIaYE0tv-h0w_10_9"/>
      <w:bookmarkStart w:id="2311" w:name="Tc_G5JvSm_CwkSIAcKC58y2RA_10_6"/>
      <w:bookmarkStart w:id="2312" w:name="Tc_MWggyUh49UiAkX9Bc5jYxw_10_0"/>
      <w:bookmarkStart w:id="2313" w:name="Tc__ZOYG12ptUiHeYor0EBf8Q_9_11"/>
      <w:bookmarkStart w:id="2314" w:name="Tc_uiwpnhBl2UCxH31-0Rn_NQ_9_9"/>
      <w:bookmarkStart w:id="2315" w:name="Tc_lrOocxwhX0KimmuldZGy0Q_9_8"/>
      <w:bookmarkStart w:id="2316" w:name="Tc_FSu5Rj5Fg0OMnqbxFtHsug_9_6"/>
      <w:bookmarkStart w:id="2317" w:name="Tc_3EXAqZuLykqIyfXWgDHYmg_9_5"/>
      <w:bookmarkStart w:id="2318" w:name="Tc_FcJyKSJlVkK_h1PIhS7cNA_9_2"/>
      <w:bookmarkStart w:id="2319" w:name="Tc_qktkISeANkGiylwccCRruw_9_0"/>
      <w:bookmarkStart w:id="2320" w:name="Tc_c97dvgytI0yIbTNb6ke78Q_8_0"/>
      <w:bookmarkStart w:id="2321" w:name="Tc_vYnBXMPyeUqUU0h5bAzS_w_6_11"/>
      <w:bookmarkStart w:id="2322" w:name="Tc_TQ5EMOojL0aTIJM4nP-PBA_6_8"/>
      <w:bookmarkStart w:id="2323" w:name="Tc_BlhIRQeAyEiKuEH9x2HOXA_6_5"/>
      <w:bookmarkStart w:id="2324" w:name="Tc_w1HI9fT7uUaMLUBjPMdjeg_6_2"/>
      <w:bookmarkStart w:id="2325" w:name="Tc_vPH54Pr39EuDYLhX0UfMpQ_6_0"/>
      <w:bookmarkStart w:id="2326" w:name="Tc_Q5s2u8AP60m915um2qhVAg_5_0"/>
      <w:bookmarkStart w:id="2327" w:name="Tc_gxI7SaW9jECIWCmfK3pLCw_4_11"/>
      <w:bookmarkStart w:id="2328" w:name="Tc_MKhx_TGsi0Wg_T1fyWtAqQ_4_8"/>
      <w:bookmarkStart w:id="2329" w:name="Tc_FH1M_JBfeUe_O8VUVlY9yQ_4_5"/>
      <w:bookmarkStart w:id="2330" w:name="Tc_MGjZ_FEzMU6ROX-6yycv5g_4_2"/>
      <w:bookmarkStart w:id="2331" w:name="Tc_74wVHUj2gU-BxHs-gSuLCg_4_0"/>
      <w:bookmarkStart w:id="2332" w:name="Tc_oP4dSM0zFkSQHyDWEK6rMg_3_0"/>
      <w:bookmarkStart w:id="2333" w:name="Tc_ERyHJiDq30Kmbp7MsRuAlA_2_11"/>
      <w:bookmarkStart w:id="2334" w:name="Tc_xlNP9t-zz0yHmnUSD97AOw_2_8"/>
      <w:bookmarkStart w:id="2335" w:name="Tc_kSxtoGP6PkupG5-NzFrt1A_2_5"/>
      <w:bookmarkStart w:id="2336" w:name="Tc_UWxqi0jHW0-28O8QnTEh8g_2_2"/>
      <w:bookmarkStart w:id="2337" w:name="Tc_YGTADH_2S0aUo8UtSbWy4Q_1_2"/>
      <w:bookmarkStart w:id="2338" w:name="_54f61249_8962_488c_91af_707699b8a76e"/>
      <w:bookmarkStart w:id="2339" w:name="Tc_KcYag4cvlUqHpw9vIA5kyg_16_11"/>
      <w:bookmarkStart w:id="2340" w:name="Tc_w2IiSKyOokuFJQw_MMm34Q_16_8"/>
      <w:bookmarkStart w:id="2341" w:name="Tc_VGFc8qPJx0SM9U7h2fob4Q_16_5"/>
      <w:bookmarkStart w:id="2342" w:name="Tc_rPlaZzfVmEqiVEwRoEIpPQ_16_2"/>
      <w:bookmarkStart w:id="2343" w:name="Tc_SkqdnXFtaUCDgxvGgQzvlg_16_0"/>
      <w:bookmarkStart w:id="2344" w:name="Tc_q9X9hIWny0eQG-9L7EcJ-A_15_9"/>
      <w:bookmarkStart w:id="2345" w:name="Tc_HDTBDzFu30WTZIhZboVA6Q_15_3"/>
      <w:bookmarkStart w:id="2346" w:name="Tc_Q_WGkhW4oECZHed6waes1w_15_0"/>
      <w:bookmarkStart w:id="2347" w:name="Tc_PRDAGmwDHEei1PMznMZCCw_14_3"/>
      <w:bookmarkStart w:id="2348" w:name="Tc_syFQwyUjB0GLNU_7Ez7N0Q_14_0"/>
      <w:bookmarkStart w:id="2349" w:name="Tc_PyLwCax7NEKJcWCM_d161A_13_6"/>
      <w:bookmarkStart w:id="2350" w:name="Tc_zIFkyfN9f0yjtU__-5kpaQ_13_0"/>
      <w:bookmarkStart w:id="2351" w:name="Tc_pNiNR-tCYUi6YyWhT5AZ1A_12_9"/>
      <w:bookmarkStart w:id="2352" w:name="Tc_NGjLAO4iMUWqQexAQ0l_1g_12_6"/>
      <w:bookmarkStart w:id="2353" w:name="Tc_DLODygZpS0q4EAFxPXGS_w_12_0"/>
      <w:bookmarkStart w:id="2354" w:name="Tc_vkFaC3dlD0eB91wj47r-jA_11_6"/>
      <w:bookmarkStart w:id="2355" w:name="Tc_-9LXeLNxdkmUuc_bVFgIqw_11_0"/>
      <w:bookmarkStart w:id="2356" w:name="Tc_F1MZxXO0DUCeUiiUmIfUiA_10_9"/>
      <w:bookmarkStart w:id="2357" w:name="Tc_jV7-Nwv_8067BXNO3jDAEw_10_6"/>
      <w:bookmarkStart w:id="2358" w:name="Tc_MTu4ElcGH0WKGDU5gG2uaQ_10_0"/>
      <w:bookmarkStart w:id="2359" w:name="Tc_JhEOIVAqCkawIiJ_V45JAw_9_11"/>
      <w:bookmarkStart w:id="2360" w:name="Tc_HMRMVmjUCUqXMMMwPxUwbg_9_9"/>
      <w:bookmarkStart w:id="2361" w:name="Tc_nq3IHDbz6UWhJCV3e5In3g_9_8"/>
      <w:bookmarkStart w:id="2362" w:name="Tc_wDJnLmUvOUm36ywxOIxAJg_9_6"/>
      <w:bookmarkStart w:id="2363" w:name="Tc_TdTb61f_bkS25Amdo6iJSw_9_5"/>
      <w:bookmarkStart w:id="2364" w:name="Tc_JIITa83wiE68BwxdbMhqEA_9_2"/>
      <w:bookmarkStart w:id="2365" w:name="Tc_zW5SB6uubkSn48fUS2NxJQ_9_0"/>
      <w:bookmarkStart w:id="2366" w:name="Tc_i2AYtA3_9kWwcttGp-MO4A_8_0"/>
      <w:bookmarkStart w:id="2367" w:name="Tc_3tB9B1FrDEyNJQQAlB3ABg_6_11"/>
      <w:bookmarkStart w:id="2368" w:name="Tc_e7JthQa8Q0GTnfpSQCBKCw_6_8"/>
      <w:bookmarkStart w:id="2369" w:name="Tc_vms_RrNrdkC_J8u98bWABg_6_5"/>
      <w:bookmarkStart w:id="2370" w:name="Tc_UzK3JL2uNkKrXezFy7K7GQ_6_2"/>
      <w:bookmarkStart w:id="2371" w:name="Tc_DMgWeHiar0OsZ-oC2_Gh6Q_6_0"/>
      <w:bookmarkStart w:id="2372" w:name="Tc_PM-cQnCeKU2ErjZ_16xelw_5_0"/>
      <w:bookmarkStart w:id="2373" w:name="Tc_xsD6anB97ECFtuzSIbAX9Q_4_11"/>
      <w:bookmarkStart w:id="2374" w:name="Tc_03q0d9FuFEavAqxrpd2gNA_4_8"/>
      <w:bookmarkStart w:id="2375" w:name="Tc_AohuG_bNsE-xZLtBbaHL0g_4_5"/>
      <w:bookmarkStart w:id="2376" w:name="Tc_nLj9fRmeDE6-QQAYjoTsDw_4_2"/>
      <w:bookmarkStart w:id="2377" w:name="Tc_4terXjwT3k6Jx5hGfQts3g_4_0"/>
      <w:bookmarkStart w:id="2378" w:name="Tc_HFCjH6-3nkqOeU3OkrnJUg_3_0"/>
      <w:bookmarkStart w:id="2379" w:name="Tc_2-7JHpat-kijGzb6UIyLyQ_2_11"/>
      <w:bookmarkStart w:id="2380" w:name="Tc_SqkDeoZdo06BEPBeqD394g_2_8"/>
      <w:bookmarkStart w:id="2381" w:name="Tc_Yd_CEjY1aEqDN5eKYgzc2A_2_5"/>
      <w:bookmarkStart w:id="2382" w:name="Tc_YKHMBGt-3Eq8f8UEaMu-oQ_2_2"/>
      <w:bookmarkStart w:id="2383" w:name="Tc_BmgQdnLB_k-xTMVzPicInQ_1_2"/>
      <w:bookmarkStart w:id="2384" w:name="_2f240c7e_7d7d_4e49_844f_906b56cce1ed"/>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p>
    <w:tbl>
      <w:tblPr>
        <w:tblW w:w="10205" w:type="dxa"/>
        <w:jc w:val="left"/>
        <w:tblInd w:w="0" w:type="dxa"/>
        <w:tblLayout w:type="fixed"/>
        <w:tblCellMar>
          <w:top w:w="28" w:type="dxa"/>
          <w:left w:w="28" w:type="dxa"/>
          <w:bottom w:w="28" w:type="dxa"/>
          <w:right w:w="28"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for each reportable segment includes compensation, certain allocated overhead expenses including information technology and enterprise resource planning, commissions, incentives, depreciation and amortization expense, research and development, and professional services fees.</w:t>
            </w:r>
          </w:p>
        </w:tc>
      </w:tr>
    </w:tbl>
    <w:tbl>
      <w:tblPr>
        <w:tblW w:w="8381" w:type="dxa"/>
        <w:jc w:val="left"/>
        <w:tblInd w:w="0" w:type="dxa"/>
        <w:tblLayout w:type="fixed"/>
        <w:tblCellMar>
          <w:top w:w="0" w:type="dxa"/>
          <w:left w:w="0" w:type="dxa"/>
          <w:bottom w:w="0" w:type="dxa"/>
          <w:right w:w="0" w:type="dxa"/>
        </w:tblCellMar>
      </w:tblPr>
      <w:tblGrid>
        <w:gridCol w:w="2581"/>
        <w:gridCol w:w="346"/>
        <w:gridCol w:w="227"/>
        <w:gridCol w:w="959"/>
        <w:gridCol w:w="346"/>
        <w:gridCol w:w="196"/>
        <w:gridCol w:w="826"/>
        <w:gridCol w:w="346"/>
        <w:gridCol w:w="247"/>
        <w:gridCol w:w="834"/>
        <w:gridCol w:w="346"/>
        <w:gridCol w:w="196"/>
        <w:gridCol w:w="931"/>
      </w:tblGrid>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5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 December 27, 2025</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2,515,602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506,316</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3,006,375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583,432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514,434</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1,097,727</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3,099,034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1,020,750</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4,104,102</w:t>
            </w:r>
          </w:p>
        </w:tc>
      </w:tr>
      <w:tr>
        <w:trPr/>
        <w:tc>
          <w:tcPr>
            <w:tcW w:w="2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Utility</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1,511,053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1,511,053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Lighting and Transportation</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830,268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830,268</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Coatings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362,209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353,046</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Telecommunications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313,882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313,882</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Solar</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81,622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81,483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Irrigation Equipment and Parts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926,276</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919,896</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Technology Products and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94,474</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94,474</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3,099,034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1,020,750</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4,104,102</w:t>
            </w:r>
          </w:p>
        </w:tc>
      </w:tr>
    </w:tbl>
    <w:p>
      <w:pPr>
        <w:pStyle w:val="TextBody"/>
        <w:bidi w:val="0"/>
        <w:spacing w:before="0" w:after="240"/>
        <w:ind w:left="0" w:right="0" w:hanging="0"/>
        <w:jc w:val="left"/>
        <w:rPr>
          <w:shd w:fill="FFFF00" w:val="clear"/>
        </w:rPr>
      </w:pPr>
      <w:r>
        <w:rPr>
          <w:shd w:fill="FFFF00" w:val="clear"/>
        </w:rPr>
        <w:t>​</w:t>
      </w:r>
    </w:p>
    <w:tbl>
      <w:tblPr>
        <w:tblW w:w="8381" w:type="dxa"/>
        <w:jc w:val="left"/>
        <w:tblInd w:w="0" w:type="dxa"/>
        <w:tblLayout w:type="fixed"/>
        <w:tblCellMar>
          <w:top w:w="0" w:type="dxa"/>
          <w:left w:w="0" w:type="dxa"/>
          <w:bottom w:w="0" w:type="dxa"/>
          <w:right w:w="0" w:type="dxa"/>
        </w:tblCellMar>
      </w:tblPr>
      <w:tblGrid>
        <w:gridCol w:w="2581"/>
        <w:gridCol w:w="346"/>
        <w:gridCol w:w="227"/>
        <w:gridCol w:w="959"/>
        <w:gridCol w:w="346"/>
        <w:gridCol w:w="196"/>
        <w:gridCol w:w="826"/>
        <w:gridCol w:w="346"/>
        <w:gridCol w:w="247"/>
        <w:gridCol w:w="834"/>
        <w:gridCol w:w="346"/>
        <w:gridCol w:w="196"/>
        <w:gridCol w:w="931"/>
      </w:tblGrid>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5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 December 28, 2024</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2,348,250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570,517</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2,901,722</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660,326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513,191</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1,173,312</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3,008,576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1,083,708</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4,075,034</w:t>
            </w:r>
          </w:p>
        </w:tc>
      </w:tr>
      <w:tr>
        <w:trPr/>
        <w:tc>
          <w:tcPr>
            <w:tcW w:w="2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Utility</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1,368,333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1,368,333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Lighting and Transportation</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884,128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884,128</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Coatings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353,739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343,747</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Telecommunications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250,770</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Solar</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151,403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Irrigation Equipment and Parts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985,840</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978,785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Technology Products and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97,868</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97,868</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3,008,576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1,083,708</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4,075,034</w:t>
            </w:r>
          </w:p>
        </w:tc>
      </w:tr>
    </w:tbl>
    <w:p>
      <w:pPr>
        <w:pStyle w:val="TextBody"/>
        <w:bidi w:val="0"/>
        <w:spacing w:before="0" w:after="240"/>
        <w:ind w:left="0" w:right="0" w:hanging="0"/>
        <w:jc w:val="left"/>
        <w:rPr>
          <w:shd w:fill="FFFF00" w:val="clear"/>
        </w:rPr>
      </w:pPr>
      <w:r>
        <w:rPr>
          <w:shd w:fill="FFFF00" w:val="clear"/>
        </w:rPr>
        <w:t>​</w:t>
      </w:r>
    </w:p>
    <w:tbl>
      <w:tblPr>
        <w:tblW w:w="8381" w:type="dxa"/>
        <w:jc w:val="left"/>
        <w:tblInd w:w="0" w:type="dxa"/>
        <w:tblLayout w:type="fixed"/>
        <w:tblCellMar>
          <w:top w:w="0" w:type="dxa"/>
          <w:left w:w="0" w:type="dxa"/>
          <w:bottom w:w="0" w:type="dxa"/>
          <w:right w:w="0" w:type="dxa"/>
        </w:tblCellMar>
      </w:tblPr>
      <w:tblGrid>
        <w:gridCol w:w="2581"/>
        <w:gridCol w:w="346"/>
        <w:gridCol w:w="227"/>
        <w:gridCol w:w="959"/>
        <w:gridCol w:w="346"/>
        <w:gridCol w:w="196"/>
        <w:gridCol w:w="826"/>
        <w:gridCol w:w="346"/>
        <w:gridCol w:w="247"/>
        <w:gridCol w:w="834"/>
        <w:gridCol w:w="346"/>
        <w:gridCol w:w="196"/>
        <w:gridCol w:w="931"/>
      </w:tblGrid>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5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 December 30, 2023</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2,318,801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587,056</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2,889,575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691,266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595,167</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1,285,023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3,010,067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1,182,223</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4,174,598</w:t>
            </w:r>
          </w:p>
        </w:tc>
      </w:tr>
      <w:tr>
        <w:trPr/>
        <w:tc>
          <w:tcPr>
            <w:tcW w:w="2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Utility</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1,291,670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1,291,670</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Lighting and Transportation</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916,170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916,170</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Coatings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354,330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345,310</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Telecommunications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252,165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252,165</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Solar</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195,732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194,322</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Irrigation Equipment and Parts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1,069,425</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1,062,163</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Technology Products and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112,798</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112,798</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3,010,067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1,182,223</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4,174,598</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Normal"/>
        <w:bidi w:val="0"/>
        <w:spacing w:before="0" w:after="0"/>
        <w:jc w:val="left"/>
        <w:rPr>
          <w:sz w:val="4"/>
          <w:szCs w:val="4"/>
        </w:rPr>
      </w:pPr>
      <w:r>
        <w:rPr>
          <w:sz w:val="4"/>
          <w:szCs w:val="4"/>
        </w:rPr>
      </w:r>
      <w:bookmarkStart w:id="2385" w:name="Tc_8Ep04tAD1U6sdx_CKUSyxg_7_5"/>
      <w:bookmarkStart w:id="2386" w:name="Tc_CsvxHUluU0CRAJVgqqR69g_7_2"/>
      <w:bookmarkStart w:id="2387" w:name="Tc_6c-czXpzLkSO3z1b6XxknQ_7_0"/>
      <w:bookmarkStart w:id="2388" w:name="Tc_PO1a6-bYIEe8LG5KCremOw_6_0"/>
      <w:bookmarkStart w:id="2389" w:name="Tc_qzVsMecHoEe6EhotvBthOg_5_0"/>
      <w:bookmarkStart w:id="2390" w:name="Tc_Vqu-USTqpEK3qSh2o_qqSQ_4_5"/>
      <w:bookmarkStart w:id="2391" w:name="Tc_SD98MuuA3EyHZLSrKWx6wg_4_2"/>
      <w:bookmarkStart w:id="2392" w:name="Tc_KnfrZkWkMU2xIAZZU9xTQw_4_0"/>
      <w:bookmarkStart w:id="2393" w:name="Tc_E6HCn0YTjUGGjSc2pCXvJg_3_0"/>
      <w:bookmarkStart w:id="2394" w:name="Tc_U19_lXD_skO0nIX42OR1TQ_2_5"/>
      <w:bookmarkStart w:id="2395" w:name="Tc_AAutAQyU_ke6w49MoWSt4g_2_2"/>
      <w:bookmarkStart w:id="2396" w:name="Tc_X0nlxi3bcUaBPYtaLdR5_Q_1_5"/>
      <w:bookmarkStart w:id="2397" w:name="Tc_oqiOaAWxLEuUfrWfHYQUrA_1_2"/>
      <w:bookmarkStart w:id="2398" w:name="_f8c36b73_773f_4783_b9a6_14b08297210a"/>
      <w:bookmarkStart w:id="2399" w:name="Tc_ToEJuqWpWkGQfiekGP_1oA_9_8"/>
      <w:bookmarkStart w:id="2400" w:name="Tc_1jof0XVeJUuC0E8dtidpUg_9_5"/>
      <w:bookmarkStart w:id="2401" w:name="Tc_N136b95ueUivZkT3yTc_tA_9_2"/>
      <w:bookmarkStart w:id="2402" w:name="Tc_n6a_Z2NuME-to56hGzMPLw_9_0"/>
      <w:bookmarkStart w:id="2403" w:name="Tc_ztn5Lj0NDUyalk10rZn3cA_8_0"/>
      <w:bookmarkStart w:id="2404" w:name="Tc_ZZYsXiCRZEO-Yt8cULeRug_7_0"/>
      <w:bookmarkStart w:id="2405" w:name="Tc_qfkglRVlwEeXu9rVJUcKyA_6_0"/>
      <w:bookmarkStart w:id="2406" w:name="Tc_smDvP4iQpEWIoY9YKP_qnA_5_8"/>
      <w:bookmarkStart w:id="2407" w:name="Tc_iE-5Z6wBCUm_Kv8d4ruDVA_5_5"/>
      <w:bookmarkStart w:id="2408" w:name="Tc_44MqKC58xku5fVOGKzC3RQ_5_2"/>
      <w:bookmarkStart w:id="2409" w:name="Tc_TKiv1cMi2Uu6rZS2N5VblA_5_0"/>
      <w:bookmarkStart w:id="2410" w:name="Tc_GI5hVzxEt0izeGU1GAHQQw_4_0"/>
      <w:bookmarkStart w:id="2411" w:name="Tc_SxBuqC0tXEWlOKLvXUN3RQ_3_8"/>
      <w:bookmarkStart w:id="2412" w:name="Tc_rvwo7fSHwUGv4Borp3-UMw_3_5"/>
      <w:bookmarkStart w:id="2413" w:name="Tc_I4T34n4SR0CpRRVgNvPzaw_3_2"/>
      <w:bookmarkStart w:id="2414" w:name="Tc_ZPiMiZ2kf0ynhdeJIwcJ2g_2_8"/>
      <w:bookmarkStart w:id="2415" w:name="Tc_Gz_PtbyYpUq1EdBwqYRbeg_2_5"/>
      <w:bookmarkStart w:id="2416" w:name="Tc_4IUTNQeN-Umj0AjG63IUYg_2_2"/>
      <w:bookmarkStart w:id="2417" w:name="Tc_DpfIdZYEWk2ZVoeI7Yt1aA_1_2"/>
      <w:bookmarkStart w:id="2418" w:name="_59df5575_066b_49ba_9c82_b27c98265184"/>
      <w:bookmarkStart w:id="2419" w:name="Tc_w-aJ0lLdiUyLRasKv9yQSA_9_8"/>
      <w:bookmarkStart w:id="2420" w:name="Tc_5urPltdLb0eOfFoutYuJLg_9_5"/>
      <w:bookmarkStart w:id="2421" w:name="Tc_zZ3p3MxEbEWI8f8awB4AiQ_9_2"/>
      <w:bookmarkStart w:id="2422" w:name="Tc_6656Y8V7-0GvQw3ExIFBmA_9_0"/>
      <w:bookmarkStart w:id="2423" w:name="Tc_EQgBtKsnaUSTvreTbLEe3A_8_0"/>
      <w:bookmarkStart w:id="2424" w:name="Tc_PQJHBjXj9kaFDxSxlwRTyA_7_0"/>
      <w:bookmarkStart w:id="2425" w:name="Tc_UwoNoQa1A0-HADXeMjFUjg_6_0"/>
      <w:bookmarkStart w:id="2426" w:name="Tc_Rdz2cQ3hq0iIfOwJAWGACQ_5_8"/>
      <w:bookmarkStart w:id="2427" w:name="Tc_OwRjpxzspkOrjjK4mEi6pA_5_5"/>
      <w:bookmarkStart w:id="2428" w:name="Tc_khDGTiop5UCxQjgH5b6L2A_5_2"/>
      <w:bookmarkStart w:id="2429" w:name="Tc_AewhwYVbmEatRRIlGo3Crw_5_0"/>
      <w:bookmarkStart w:id="2430" w:name="Tc_eznycL_RekSoliJb_hhH_A_4_0"/>
      <w:bookmarkStart w:id="2431" w:name="Tc_VFwh21o-yUeOKlJ4fPaTcA_3_8"/>
      <w:bookmarkStart w:id="2432" w:name="Tc_mw26PXCLKUaBc8xgWpWPvg_3_5"/>
      <w:bookmarkStart w:id="2433" w:name="Tc_H5uIw5Mt5UaDpR9xH9Vnfw_3_2"/>
      <w:bookmarkStart w:id="2434" w:name="Tc_0HKH_w4P4EmZZBUH-uv12g_2_8"/>
      <w:bookmarkStart w:id="2435" w:name="Tc_o5I9w4YQQkGGgTrRxbF45w_2_5"/>
      <w:bookmarkStart w:id="2436" w:name="Tc_vHfkE7H0N0qCpfoTLoef5w_2_2"/>
      <w:bookmarkStart w:id="2437" w:name="Tc_OdLC8fvRGEuL_5-G1Qa1BQ_1_2"/>
      <w:bookmarkStart w:id="2438" w:name="_02e804ed_24ca_45d8_8e5d_2cee2c27a6b4"/>
      <w:bookmarkStart w:id="2439" w:name="Tc_bEoCpcnMFE69kNUJf5Nj_w_9_8"/>
      <w:bookmarkStart w:id="2440" w:name="Tc_bZf1lCDy5kS8SEJbXXwU8g_9_5"/>
      <w:bookmarkStart w:id="2441" w:name="Tc_1KUl4I4JKU6Zyz2U6KLdJw_9_2"/>
      <w:bookmarkStart w:id="2442" w:name="Tc_L8JXzNK9F0ihczDHPdTY1w_9_0"/>
      <w:bookmarkStart w:id="2443" w:name="Tc_DMgpcSbYhkGveGaOtqAZ4Q_8_0"/>
      <w:bookmarkStart w:id="2444" w:name="Tc_pxHEFk_kska-mOCB5hMdUQ_7_0"/>
      <w:bookmarkStart w:id="2445" w:name="Tc_Rq784NlLtUuJWwA6010U3w_6_0"/>
      <w:bookmarkStart w:id="2446" w:name="Tc_vJEg3P2vdE-XghvHp0K3Xg_5_8"/>
      <w:bookmarkStart w:id="2447" w:name="Tc_q2JSN7rtOkaYudGcwomHdQ_5_5"/>
      <w:bookmarkStart w:id="2448" w:name="Tc_noQDgo-uWEugeQbkedDKfQ_5_2"/>
      <w:bookmarkStart w:id="2449" w:name="Tc_1qT5R9ztEU6Dy0vNeE3Dew_5_0"/>
      <w:bookmarkStart w:id="2450" w:name="Tc_WhUqq0-CLkeEdGtcYKJBRQ_4_0"/>
      <w:bookmarkStart w:id="2451" w:name="Tc_OLrYE4wWZUiGbU7eH_vRHQ_3_8"/>
      <w:bookmarkStart w:id="2452" w:name="Tc_CQuKxMBhf06eSpe5w8sK-A_3_5"/>
      <w:bookmarkStart w:id="2453" w:name="Tc_nrRaEyshWEG-sL-Uszt-PQ_3_2"/>
      <w:bookmarkStart w:id="2454" w:name="Tc_xT1KZk1B0kW3yoqXQa-gwA_2_8"/>
      <w:bookmarkStart w:id="2455" w:name="Tc_u4VtmUYiYEG4L1oOWZTBPA_2_5"/>
      <w:bookmarkStart w:id="2456" w:name="Tc_oNNljL0RD0Wq0TsUzpCMlg_2_2"/>
      <w:bookmarkStart w:id="2457" w:name="Tc_qW1g_fZ_2U-9jD9MHGhoWw_1_2"/>
      <w:bookmarkStart w:id="2458" w:name="_37a7a59b_67d4_488f_81dd_671cf51f9967"/>
      <w:bookmarkStart w:id="2459" w:name="Tc_5hRzKBBsXkGHkIDr9-gLAg_8_5"/>
      <w:bookmarkStart w:id="2460" w:name="Tc_2JamBilHKUKbUPVX3JeJXQ_8_2"/>
      <w:bookmarkStart w:id="2461" w:name="Tc_RPrTTyOxK0m78iQ4yywxKA_8_0"/>
      <w:bookmarkStart w:id="2462" w:name="Tc_t7_c3PNm1EaPYR1aebz3Sw_7_0"/>
      <w:bookmarkStart w:id="2463" w:name="Tc_dUDyMGWqJE-wuzVGqmMfOA_6_0"/>
      <w:bookmarkStart w:id="2464" w:name="Tc_7DLUUHCCG0e-0Rx456gjlw_5_0"/>
      <w:bookmarkStart w:id="2465" w:name="Tc_0u5lFo0rWEekFS5FWvHWWw_4_5"/>
      <w:bookmarkStart w:id="2466" w:name="Tc_Mub9EWyoBE2fcG0LZDiYMA_4_2"/>
      <w:bookmarkStart w:id="2467" w:name="Tc_KuQwgb7Exke_EcBbzR8XMQ_4_0"/>
      <w:bookmarkStart w:id="2468" w:name="Tc_FC9GhdYx50yB-x5HIwtX4A_3_0"/>
      <w:bookmarkStart w:id="2469" w:name="Tc_s4MZ0rR7WEeZqjnXDg41Dg_2_5"/>
      <w:bookmarkStart w:id="2470" w:name="Tc_n8rMmPXcj0mWr2YAhPRr7Q_2_2"/>
      <w:bookmarkStart w:id="2471" w:name="Tc_KiIDvBi-3kSdsT1kD5ksjw_1_5"/>
      <w:bookmarkStart w:id="2472" w:name="Tc_9-3PBBMI6EqCKIEroH_qXw_1_2"/>
      <w:bookmarkStart w:id="2473" w:name="_6a616e16_1a01_468d_a0e5_38329f1316e7"/>
      <w:bookmarkStart w:id="2474" w:name="Tc_8Ep04tAD1U6sdx_CKUSyxg_7_5"/>
      <w:bookmarkStart w:id="2475" w:name="Tc_CsvxHUluU0CRAJVgqqR69g_7_2"/>
      <w:bookmarkStart w:id="2476" w:name="Tc_6c-czXpzLkSO3z1b6XxknQ_7_0"/>
      <w:bookmarkStart w:id="2477" w:name="Tc_PO1a6-bYIEe8LG5KCremOw_6_0"/>
      <w:bookmarkStart w:id="2478" w:name="Tc_qzVsMecHoEe6EhotvBthOg_5_0"/>
      <w:bookmarkStart w:id="2479" w:name="Tc_Vqu-USTqpEK3qSh2o_qqSQ_4_5"/>
      <w:bookmarkStart w:id="2480" w:name="Tc_SD98MuuA3EyHZLSrKWx6wg_4_2"/>
      <w:bookmarkStart w:id="2481" w:name="Tc_KnfrZkWkMU2xIAZZU9xTQw_4_0"/>
      <w:bookmarkStart w:id="2482" w:name="Tc_E6HCn0YTjUGGjSc2pCXvJg_3_0"/>
      <w:bookmarkStart w:id="2483" w:name="Tc_U19_lXD_skO0nIX42OR1TQ_2_5"/>
      <w:bookmarkStart w:id="2484" w:name="Tc_AAutAQyU_ke6w49MoWSt4g_2_2"/>
      <w:bookmarkStart w:id="2485" w:name="Tc_X0nlxi3bcUaBPYtaLdR5_Q_1_5"/>
      <w:bookmarkStart w:id="2486" w:name="Tc_oqiOaAWxLEuUfrWfHYQUrA_1_2"/>
      <w:bookmarkStart w:id="2487" w:name="_f8c36b73_773f_4783_b9a6_14b08297210a"/>
      <w:bookmarkStart w:id="2488" w:name="Tc_ToEJuqWpWkGQfiekGP_1oA_9_8"/>
      <w:bookmarkStart w:id="2489" w:name="Tc_1jof0XVeJUuC0E8dtidpUg_9_5"/>
      <w:bookmarkStart w:id="2490" w:name="Tc_N136b95ueUivZkT3yTc_tA_9_2"/>
      <w:bookmarkStart w:id="2491" w:name="Tc_n6a_Z2NuME-to56hGzMPLw_9_0"/>
      <w:bookmarkStart w:id="2492" w:name="Tc_ztn5Lj0NDUyalk10rZn3cA_8_0"/>
      <w:bookmarkStart w:id="2493" w:name="Tc_ZZYsXiCRZEO-Yt8cULeRug_7_0"/>
      <w:bookmarkStart w:id="2494" w:name="Tc_qfkglRVlwEeXu9rVJUcKyA_6_0"/>
      <w:bookmarkStart w:id="2495" w:name="Tc_smDvP4iQpEWIoY9YKP_qnA_5_8"/>
      <w:bookmarkStart w:id="2496" w:name="Tc_iE-5Z6wBCUm_Kv8d4ruDVA_5_5"/>
      <w:bookmarkStart w:id="2497" w:name="Tc_44MqKC58xku5fVOGKzC3RQ_5_2"/>
      <w:bookmarkStart w:id="2498" w:name="Tc_TKiv1cMi2Uu6rZS2N5VblA_5_0"/>
      <w:bookmarkStart w:id="2499" w:name="Tc_GI5hVzxEt0izeGU1GAHQQw_4_0"/>
      <w:bookmarkStart w:id="2500" w:name="Tc_SxBuqC0tXEWlOKLvXUN3RQ_3_8"/>
      <w:bookmarkStart w:id="2501" w:name="Tc_rvwo7fSHwUGv4Borp3-UMw_3_5"/>
      <w:bookmarkStart w:id="2502" w:name="Tc_I4T34n4SR0CpRRVgNvPzaw_3_2"/>
      <w:bookmarkStart w:id="2503" w:name="Tc_ZPiMiZ2kf0ynhdeJIwcJ2g_2_8"/>
      <w:bookmarkStart w:id="2504" w:name="Tc_Gz_PtbyYpUq1EdBwqYRbeg_2_5"/>
      <w:bookmarkStart w:id="2505" w:name="Tc_4IUTNQeN-Umj0AjG63IUYg_2_2"/>
      <w:bookmarkStart w:id="2506" w:name="Tc_DpfIdZYEWk2ZVoeI7Yt1aA_1_2"/>
      <w:bookmarkStart w:id="2507" w:name="_59df5575_066b_49ba_9c82_b27c98265184"/>
      <w:bookmarkStart w:id="2508" w:name="Tc_w-aJ0lLdiUyLRasKv9yQSA_9_8"/>
      <w:bookmarkStart w:id="2509" w:name="Tc_5urPltdLb0eOfFoutYuJLg_9_5"/>
      <w:bookmarkStart w:id="2510" w:name="Tc_zZ3p3MxEbEWI8f8awB4AiQ_9_2"/>
      <w:bookmarkStart w:id="2511" w:name="Tc_6656Y8V7-0GvQw3ExIFBmA_9_0"/>
      <w:bookmarkStart w:id="2512" w:name="Tc_EQgBtKsnaUSTvreTbLEe3A_8_0"/>
      <w:bookmarkStart w:id="2513" w:name="Tc_PQJHBjXj9kaFDxSxlwRTyA_7_0"/>
      <w:bookmarkStart w:id="2514" w:name="Tc_UwoNoQa1A0-HADXeMjFUjg_6_0"/>
      <w:bookmarkStart w:id="2515" w:name="Tc_Rdz2cQ3hq0iIfOwJAWGACQ_5_8"/>
      <w:bookmarkStart w:id="2516" w:name="Tc_OwRjpxzspkOrjjK4mEi6pA_5_5"/>
      <w:bookmarkStart w:id="2517" w:name="Tc_khDGTiop5UCxQjgH5b6L2A_5_2"/>
      <w:bookmarkStart w:id="2518" w:name="Tc_AewhwYVbmEatRRIlGo3Crw_5_0"/>
      <w:bookmarkStart w:id="2519" w:name="Tc_eznycL_RekSoliJb_hhH_A_4_0"/>
      <w:bookmarkStart w:id="2520" w:name="Tc_VFwh21o-yUeOKlJ4fPaTcA_3_8"/>
      <w:bookmarkStart w:id="2521" w:name="Tc_mw26PXCLKUaBc8xgWpWPvg_3_5"/>
      <w:bookmarkStart w:id="2522" w:name="Tc_H5uIw5Mt5UaDpR9xH9Vnfw_3_2"/>
      <w:bookmarkStart w:id="2523" w:name="Tc_0HKH_w4P4EmZZBUH-uv12g_2_8"/>
      <w:bookmarkStart w:id="2524" w:name="Tc_o5I9w4YQQkGGgTrRxbF45w_2_5"/>
      <w:bookmarkStart w:id="2525" w:name="Tc_vHfkE7H0N0qCpfoTLoef5w_2_2"/>
      <w:bookmarkStart w:id="2526" w:name="Tc_OdLC8fvRGEuL_5-G1Qa1BQ_1_2"/>
      <w:bookmarkStart w:id="2527" w:name="_02e804ed_24ca_45d8_8e5d_2cee2c27a6b4"/>
      <w:bookmarkStart w:id="2528" w:name="Tc_bEoCpcnMFE69kNUJf5Nj_w_9_8"/>
      <w:bookmarkStart w:id="2529" w:name="Tc_bZf1lCDy5kS8SEJbXXwU8g_9_5"/>
      <w:bookmarkStart w:id="2530" w:name="Tc_1KUl4I4JKU6Zyz2U6KLdJw_9_2"/>
      <w:bookmarkStart w:id="2531" w:name="Tc_L8JXzNK9F0ihczDHPdTY1w_9_0"/>
      <w:bookmarkStart w:id="2532" w:name="Tc_DMgpcSbYhkGveGaOtqAZ4Q_8_0"/>
      <w:bookmarkStart w:id="2533" w:name="Tc_pxHEFk_kska-mOCB5hMdUQ_7_0"/>
      <w:bookmarkStart w:id="2534" w:name="Tc_Rq784NlLtUuJWwA6010U3w_6_0"/>
      <w:bookmarkStart w:id="2535" w:name="Tc_vJEg3P2vdE-XghvHp0K3Xg_5_8"/>
      <w:bookmarkStart w:id="2536" w:name="Tc_q2JSN7rtOkaYudGcwomHdQ_5_5"/>
      <w:bookmarkStart w:id="2537" w:name="Tc_noQDgo-uWEugeQbkedDKfQ_5_2"/>
      <w:bookmarkStart w:id="2538" w:name="Tc_1qT5R9ztEU6Dy0vNeE3Dew_5_0"/>
      <w:bookmarkStart w:id="2539" w:name="Tc_WhUqq0-CLkeEdGtcYKJBRQ_4_0"/>
      <w:bookmarkStart w:id="2540" w:name="Tc_OLrYE4wWZUiGbU7eH_vRHQ_3_8"/>
      <w:bookmarkStart w:id="2541" w:name="Tc_CQuKxMBhf06eSpe5w8sK-A_3_5"/>
      <w:bookmarkStart w:id="2542" w:name="Tc_nrRaEyshWEG-sL-Uszt-PQ_3_2"/>
      <w:bookmarkStart w:id="2543" w:name="Tc_xT1KZk1B0kW3yoqXQa-gwA_2_8"/>
      <w:bookmarkStart w:id="2544" w:name="Tc_u4VtmUYiYEG4L1oOWZTBPA_2_5"/>
      <w:bookmarkStart w:id="2545" w:name="Tc_oNNljL0RD0Wq0TsUzpCMlg_2_2"/>
      <w:bookmarkStart w:id="2546" w:name="Tc_qW1g_fZ_2U-9jD9MHGhoWw_1_2"/>
      <w:bookmarkStart w:id="2547" w:name="_37a7a59b_67d4_488f_81dd_671cf51f9967"/>
      <w:bookmarkStart w:id="2548" w:name="Tc_5hRzKBBsXkGHkIDr9-gLAg_8_5"/>
      <w:bookmarkStart w:id="2549" w:name="Tc_2JamBilHKUKbUPVX3JeJXQ_8_2"/>
      <w:bookmarkStart w:id="2550" w:name="Tc_RPrTTyOxK0m78iQ4yywxKA_8_0"/>
      <w:bookmarkStart w:id="2551" w:name="Tc_t7_c3PNm1EaPYR1aebz3Sw_7_0"/>
      <w:bookmarkStart w:id="2552" w:name="Tc_dUDyMGWqJE-wuzVGqmMfOA_6_0"/>
      <w:bookmarkStart w:id="2553" w:name="Tc_7DLUUHCCG0e-0Rx456gjlw_5_0"/>
      <w:bookmarkStart w:id="2554" w:name="Tc_0u5lFo0rWEekFS5FWvHWWw_4_5"/>
      <w:bookmarkStart w:id="2555" w:name="Tc_Mub9EWyoBE2fcG0LZDiYMA_4_2"/>
      <w:bookmarkStart w:id="2556" w:name="Tc_KuQwgb7Exke_EcBbzR8XMQ_4_0"/>
      <w:bookmarkStart w:id="2557" w:name="Tc_FC9GhdYx50yB-x5HIwtX4A_3_0"/>
      <w:bookmarkStart w:id="2558" w:name="Tc_s4MZ0rR7WEeZqjnXDg41Dg_2_5"/>
      <w:bookmarkStart w:id="2559" w:name="Tc_n8rMmPXcj0mWr2YAhPRr7Q_2_2"/>
      <w:bookmarkStart w:id="2560" w:name="Tc_KiIDvBi-3kSdsT1kD5ksjw_1_5"/>
      <w:bookmarkStart w:id="2561" w:name="Tc_9-3PBBMI6EqCKIEroH_qXw_1_2"/>
      <w:bookmarkStart w:id="2562" w:name="_6a616e16_1a01_468d_a0e5_38329f1316e7"/>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p>
    <w:tbl>
      <w:tblPr>
        <w:tblW w:w="5148" w:type="dxa"/>
        <w:jc w:val="left"/>
        <w:tblInd w:w="0" w:type="dxa"/>
        <w:tblLayout w:type="fixed"/>
        <w:tblCellMar>
          <w:top w:w="0" w:type="dxa"/>
          <w:left w:w="0" w:type="dxa"/>
          <w:bottom w:w="0" w:type="dxa"/>
          <w:right w:w="0" w:type="dxa"/>
        </w:tblCellMar>
      </w:tblPr>
      <w:tblGrid>
        <w:gridCol w:w="2131"/>
        <w:gridCol w:w="346"/>
        <w:gridCol w:w="218"/>
        <w:gridCol w:w="922"/>
        <w:gridCol w:w="346"/>
        <w:gridCol w:w="206"/>
        <w:gridCol w:w="979"/>
      </w:tblGrid>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pPr>
            <w:r>
              <w:rPr/>
              <w:t>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2,312,500</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2,181,345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768,715</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876,486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segment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3,081,215</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3,057,831</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Unallocated corporate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288,114</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272,141</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3,369,329</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3,329,972</w:t>
            </w:r>
          </w:p>
        </w:tc>
      </w:tr>
    </w:tbl>
    <w:p>
      <w:pPr>
        <w:pStyle w:val="TextBody"/>
        <w:bidi w:val="0"/>
        <w:spacing w:before="0" w:after="0"/>
        <w:ind w:left="0" w:right="0" w:hanging="0"/>
        <w:jc w:val="left"/>
        <w:rPr>
          <w:shd w:fill="FFFF00" w:val="clear"/>
        </w:rPr>
      </w:pPr>
      <w:r>
        <w:rPr>
          <w:shd w:fill="FFFF00" w:val="clear"/>
        </w:rPr>
        <w:t>​</w:t>
      </w:r>
    </w:p>
    <w:tbl>
      <w:tblPr>
        <w:tblW w:w="7609" w:type="dxa"/>
        <w:jc w:val="left"/>
        <w:tblInd w:w="0" w:type="dxa"/>
        <w:tblLayout w:type="fixed"/>
        <w:tblCellMar>
          <w:top w:w="0" w:type="dxa"/>
          <w:left w:w="0" w:type="dxa"/>
          <w:bottom w:w="0" w:type="dxa"/>
          <w:right w:w="0" w:type="dxa"/>
        </w:tblCellMar>
      </w:tblPr>
      <w:tblGrid>
        <w:gridCol w:w="3106"/>
        <w:gridCol w:w="346"/>
        <w:gridCol w:w="252"/>
        <w:gridCol w:w="888"/>
        <w:gridCol w:w="346"/>
        <w:gridCol w:w="280"/>
        <w:gridCol w:w="860"/>
        <w:gridCol w:w="346"/>
        <w:gridCol w:w="257"/>
        <w:gridCol w:w="928"/>
      </w:tblGrid>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center"/>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130,041</w:t>
            </w:r>
          </w:p>
        </w:tc>
        <w:tc>
          <w:tcPr>
            <w:tcW w:w="3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65,017</w:t>
            </w:r>
          </w:p>
        </w:tc>
        <w:tc>
          <w:tcPr>
            <w:tcW w:w="3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68,295</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11,264</w:t>
            </w:r>
          </w:p>
        </w:tc>
        <w:tc>
          <w:tcPr>
            <w:tcW w:w="346"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11,537</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segment capital expenditures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141,305</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76,554</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79,185</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Unallocated corporate capital expenditures</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3,730</w:t>
            </w:r>
          </w:p>
        </w:tc>
        <w:tc>
          <w:tcPr>
            <w:tcW w:w="346"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2,897</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17,586</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capital expenditures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145,035</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79,451</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96,771</w:t>
            </w:r>
          </w:p>
        </w:tc>
      </w:tr>
    </w:tbl>
    <w:p>
      <w:pPr>
        <w:pStyle w:val="TextBody"/>
        <w:bidi w:val="0"/>
        <w:spacing w:before="0" w:after="0"/>
        <w:ind w:left="0" w:right="0" w:hanging="0"/>
        <w:jc w:val="left"/>
        <w:rPr>
          <w:shd w:fill="FFFF00" w:val="clear"/>
        </w:rPr>
      </w:pPr>
      <w:r>
        <w:rPr>
          <w:shd w:fill="FFFF00" w:val="clear"/>
        </w:rPr>
        <w:t>​</w:t>
      </w:r>
    </w:p>
    <w:tbl>
      <w:tblPr>
        <w:tblW w:w="8899" w:type="dxa"/>
        <w:jc w:val="left"/>
        <w:tblInd w:w="0" w:type="dxa"/>
        <w:tblLayout w:type="fixed"/>
        <w:tblCellMar>
          <w:top w:w="0" w:type="dxa"/>
          <w:left w:w="0" w:type="dxa"/>
          <w:bottom w:w="0" w:type="dxa"/>
          <w:right w:w="0" w:type="dxa"/>
        </w:tblCellMar>
      </w:tblPr>
      <w:tblGrid>
        <w:gridCol w:w="4396"/>
        <w:gridCol w:w="346"/>
        <w:gridCol w:w="280"/>
        <w:gridCol w:w="860"/>
        <w:gridCol w:w="346"/>
        <w:gridCol w:w="280"/>
        <w:gridCol w:w="860"/>
        <w:gridCol w:w="346"/>
        <w:gridCol w:w="257"/>
        <w:gridCol w:w="928"/>
      </w:tblGrid>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1"/>
              <w:ind w:left="0" w:right="0" w:hanging="0"/>
              <w:jc w:val="left"/>
              <w:rPr/>
            </w:pPr>
            <w:r>
              <w:rPr/>
              <w:t> </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65,127</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65,717</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64,654</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shd w:fill="CCEEFF" w:val="clear"/>
            <w:vAlign w:val="center"/>
          </w:tcPr>
          <w:p>
            <w:pPr>
              <w:pStyle w:val="TableContents"/>
              <w:bidi w:val="0"/>
              <w:spacing w:before="0" w:after="1"/>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15,304</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20,606</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23,409</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segment 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80,431</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86,323</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88,063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Unallocated corporate depreciation and amortization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8,078</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9,072</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88,509</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95,395</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98,708</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b/>
          <w:i/>
          <w:sz w:val="20"/>
        </w:rPr>
      </w:pPr>
      <w:r>
        <w:rPr>
          <w:rFonts w:ascii="Times New Roman;Times;serif" w:hAnsi="Times New Roman;Times;serif"/>
          <w:b/>
          <w:i/>
          <w:sz w:val="20"/>
        </w:rPr>
        <w:t>Summary by Geographical Area by Location of Valmont Facilities</w:t>
      </w:r>
    </w:p>
    <w:p>
      <w:pPr>
        <w:pStyle w:val="TextBody"/>
        <w:bidi w:val="0"/>
        <w:spacing w:before="0" w:after="0"/>
        <w:ind w:left="0" w:right="0" w:hanging="0"/>
        <w:jc w:val="left"/>
        <w:rPr/>
      </w:pPr>
      <w:r>
        <w:rPr/>
        <w:t>​</w:t>
      </w:r>
    </w:p>
    <w:tbl>
      <w:tblPr>
        <w:tblW w:w="5689" w:type="dxa"/>
        <w:jc w:val="left"/>
        <w:tblInd w:w="0" w:type="dxa"/>
        <w:tblLayout w:type="fixed"/>
        <w:tblCellMar>
          <w:top w:w="0" w:type="dxa"/>
          <w:left w:w="0" w:type="dxa"/>
          <w:bottom w:w="0" w:type="dxa"/>
          <w:right w:w="0" w:type="dxa"/>
        </w:tblCellMar>
      </w:tblPr>
      <w:tblGrid>
        <w:gridCol w:w="1186"/>
        <w:gridCol w:w="346"/>
        <w:gridCol w:w="218"/>
        <w:gridCol w:w="922"/>
        <w:gridCol w:w="346"/>
        <w:gridCol w:w="218"/>
        <w:gridCol w:w="922"/>
        <w:gridCol w:w="346"/>
        <w:gridCol w:w="206"/>
        <w:gridCol w:w="979"/>
      </w:tblGrid>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 Ended</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28,</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30,</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United States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2,957,136</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2,856,033</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2,860,951</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Australia</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282,257</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310,096</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313,075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Brazil</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159,127</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200,946</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311,367</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705,582</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707,959</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689,205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net sales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4,104,102</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4,075,034</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4,174,598</w:t>
            </w:r>
          </w:p>
        </w:tc>
      </w:tr>
    </w:tbl>
    <w:p>
      <w:pPr>
        <w:pStyle w:val="TextBody"/>
        <w:bidi w:val="0"/>
        <w:spacing w:before="0" w:after="0"/>
        <w:ind w:left="0" w:right="0" w:hanging="0"/>
        <w:jc w:val="left"/>
        <w:rPr>
          <w:shd w:fill="FFFF00" w:val="clear"/>
        </w:rPr>
      </w:pPr>
      <w:r>
        <w:rPr>
          <w:shd w:fill="FFFF00" w:val="clear"/>
        </w:rPr>
        <w:t>​</w:t>
      </w:r>
    </w:p>
    <w:tbl>
      <w:tblPr>
        <w:tblW w:w="5103" w:type="dxa"/>
        <w:jc w:val="left"/>
        <w:tblInd w:w="0" w:type="dxa"/>
        <w:tblLayout w:type="fixed"/>
        <w:tblCellMar>
          <w:top w:w="0" w:type="dxa"/>
          <w:left w:w="0" w:type="dxa"/>
          <w:bottom w:w="0" w:type="dxa"/>
          <w:right w:w="0" w:type="dxa"/>
        </w:tblCellMar>
      </w:tblPr>
      <w:tblGrid>
        <w:gridCol w:w="2086"/>
        <w:gridCol w:w="346"/>
        <w:gridCol w:w="218"/>
        <w:gridCol w:w="922"/>
        <w:gridCol w:w="346"/>
        <w:gridCol w:w="206"/>
        <w:gridCol w:w="979"/>
      </w:tblGrid>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27,</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28,</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pPr>
            <w:r>
              <w:rPr/>
              <w:t>  ​</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United States</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1,132,303</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1,117,631</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Australia</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105,400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89,415</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411,978</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439,534</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1,649,681</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1,646,580</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No single customer accounted for more than 10% of net sales in fiscal 2025, 2024, or 2023. Geographical net sales are based on the location of the facility generating them and excludes sales to other operating units within the Company. In fiscal 2025, Australia contributed approximately 7% of the Company’s net sales, Brazil contributed approximately 4%, and no other foreign country accounted more than 4%.</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lineRule="atLeast" w:line="200" w:before="0" w:after="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tLeast" w:line="200"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per-share amounts)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income by business segment is calculated as net sales minus identifiable operating expenses and allocations, and it includes profits from sales to other operating units of the Company. Long-lived assets include property, plant, and equipment (net of depreciation), goodwill, other intangible assets (net of amortization), and other non-current assets. Long-lived assets by geographical area are based on the location of the facilities.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63" w:name="ITEM9CHANGESINANDDISAGREEMENTSWITHACCOUN"/>
      <w:bookmarkStart w:id="2564" w:name="_1251faf4_0c77_4eb8_8f93_c559a6fc17e0"/>
      <w:bookmarkEnd w:id="2563"/>
      <w:bookmarkEnd w:id="2564"/>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2565" w:name="ITEM9ACONTROLSANDPROCEDURES_82441"/>
      <w:bookmarkStart w:id="2566" w:name="_b96c029e_f22c_4de2_8b5d_3452f5ed101b"/>
      <w:bookmarkEnd w:id="2565"/>
      <w:bookmarkEnd w:id="2566"/>
      <w:r>
        <w:rPr>
          <w:rFonts w:ascii="Times New Roman;Times;serif" w:hAnsi="Times New Roman;Times;serif"/>
          <w:b/>
          <w:sz w:val="20"/>
        </w:rPr>
        <w:t>ITEM 9A.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under the supervision and with the participation of management—including the Chief Executive Officer (“CEO”) and Chief Financial Officer (“CFO”)—conducted an evaluation of the effectiveness of the design and operation of its disclosure controls and procedures, as defined in Rule 13a-15(e) under the Securities Exchange Act of 1934, as amended.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this evaluation, the CEO and CFO concluded that, as of the end of the period covered by this report, the Company’s disclosure controls and procedures are effective in providing reasonable assurance that the information required to be disclosed by the Company in its reports under the Securities Exchange Act of 1934 is (1) accumulated and communicated to management, including the CEO and CFO, to enable timely decisions regarding required disclosures and (2) recorded, processed, summarized, and reported within the periods specified by the Commission’s rules and forms.</w:t>
      </w:r>
    </w:p>
    <w:p>
      <w:pPr>
        <w:pStyle w:val="TextBody"/>
        <w:bidi w:val="0"/>
        <w:spacing w:before="0" w:after="240"/>
        <w:ind w:left="720" w:right="0" w:hanging="0"/>
        <w:jc w:val="left"/>
        <w:rPr>
          <w:rFonts w:ascii="Times New Roman;Times;serif" w:hAnsi="Times New Roman;Times;serif"/>
          <w:b/>
          <w:i/>
          <w:sz w:val="20"/>
        </w:rPr>
      </w:pPr>
      <w:bookmarkStart w:id="2567" w:name="MANAGEMENTSREPORTONINTERNALCONTROLOVERFI"/>
      <w:bookmarkEnd w:id="2567"/>
      <w:r>
        <w:rPr>
          <w:rFonts w:ascii="Times New Roman;Times;serif" w:hAnsi="Times New Roman;Times;serif"/>
          <w:b/>
          <w:i/>
          <w:sz w:val="20"/>
        </w:rPr>
        <w:t>Management’s Annual Report on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management is responsible for establishing and maintaining adequate internal control over financial reporting, as defined in Rule 13a-15(f) under the Securities Exchange Act of 1934, as amended. Under the supervision and with the participation of the Company’s CEO and CFO, management conducted an evaluation of the effectiveness of these internal controls. This evaluation was based on the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As a result, management concluded that, as of December 27, 2025, the Company’s internal control over financial reporting was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effectiveness of the Company’s internal control over financial reporting as of December 27, 2025 has been audited by Deloitte &amp; Touche LLP, an independent registered public accounting firm. Their report, which includes their opinion, is included in this annual report on Form 10-K.</w:t>
      </w:r>
    </w:p>
    <w:p>
      <w:pPr>
        <w:pStyle w:val="TextBody"/>
        <w:bidi w:val="0"/>
        <w:spacing w:before="0" w:after="0"/>
        <w:ind w:left="0" w:right="0" w:hanging="0"/>
        <w:jc w:val="left"/>
        <w:rPr/>
      </w:pPr>
      <w:bookmarkStart w:id="2568" w:name="_REPORT_OF_INDEPENDENT"/>
      <w:bookmarkEnd w:id="2568"/>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69" w:name="_173c484e_c514_41bc_a74f_ad373b888fdf"/>
      <w:bookmarkEnd w:id="2569"/>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Valmont Industries,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 xml:space="preserve">We have audited the internal control over financial reporting of Valmont Industries, Inc. and subsidiaries (the “Company”) as of December 27, 2025, based on criteria established in </w:t>
      </w:r>
      <w:r>
        <w:rPr>
          <w:rFonts w:ascii="Times New Roman;Times;serif" w:hAnsi="Times New Roman;Times;serif"/>
          <w:b w:val="false"/>
          <w:i/>
          <w:sz w:val="20"/>
        </w:rPr>
        <w:t>Internal Control — Integrated Framework (2013)</w:t>
      </w:r>
      <w:r>
        <w:rPr>
          <w:rFonts w:ascii="Times New Roman;Times;serif" w:hAnsi="Times New Roman;Times;serif"/>
          <w:b/>
          <w:sz w:val="20"/>
        </w:rPr>
        <w:t xml:space="preserve"> </w:t>
      </w:r>
      <w:r>
        <w:rPr>
          <w:rFonts w:ascii="Times New Roman;Times;serif" w:hAnsi="Times New Roman;Times;serif"/>
          <w:b w:val="false"/>
          <w:sz w:val="20"/>
        </w:rPr>
        <w:t xml:space="preserve">issued by the Committee of Sponsoring Organizations of the Treadway Commission (COSO). In our opinion, the Company maintained, in all material respects, effective internal control over financial reporting as of December 27, 2025, based on criteria established in </w:t>
      </w:r>
      <w:r>
        <w:rPr>
          <w:rFonts w:ascii="Times New Roman;Times;serif" w:hAnsi="Times New Roman;Times;serif"/>
          <w:b w:val="false"/>
          <w:i/>
          <w:sz w:val="20"/>
        </w:rPr>
        <w:t>Internal Control — Integrated Framework (2013)</w:t>
      </w:r>
      <w:r>
        <w:rPr>
          <w:rFonts w:ascii="Times New Roman;Times;serif" w:hAnsi="Times New Roman;Times;serif"/>
          <w:b/>
          <w:sz w:val="20"/>
        </w:rPr>
        <w:t xml:space="preserve"> </w:t>
      </w:r>
      <w:r>
        <w:rPr>
          <w:rFonts w:ascii="Times New Roman;Times;serif" w:hAnsi="Times New Roman;Times;serif"/>
          <w:b w:val="false"/>
          <w:sz w:val="20"/>
        </w:rPr>
        <w:t>issued by COSO.</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have also audited, in accordance with the standards of the Public Company Accounting Oversight Board (United States) (PCAOB), the consolidated financial statements as of and for the year ended December 27, 2025, of the Company and our report dated February 23, 2026, expressed an unqualified opinion on those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Times;serif" w:hAnsi="Times New Roman;Times;serif"/>
          <w:b w:val="false"/>
          <w:i/>
          <w:sz w:val="20"/>
        </w:rPr>
        <w:t>Management’s Annual Report on Internal Control Over Financial Reporting</w:t>
      </w:r>
      <w:r>
        <w:rPr>
          <w:rFonts w:ascii="Times New Roman;Times;serif" w:hAnsi="Times New Roman;Times;serif"/>
          <w:b w:val="false"/>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48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Omaha, Nebraska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23,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240"/>
        <w:ind w:left="0" w:right="0" w:hanging="0"/>
        <w:jc w:val="left"/>
        <w:rPr>
          <w:rFonts w:ascii="Times New Roman;Times;serif" w:hAnsi="Times New Roman;Times;serif"/>
          <w:b/>
          <w:sz w:val="20"/>
        </w:rPr>
      </w:pPr>
      <w:bookmarkStart w:id="2570" w:name="ITEM9BOTHERINFORMATION_47195"/>
      <w:bookmarkStart w:id="2571" w:name="_1aeac5ba_6095_41af_9274_78879e98330c"/>
      <w:bookmarkEnd w:id="2570"/>
      <w:bookmarkEnd w:id="2571"/>
      <w:r>
        <w:rPr>
          <w:rFonts w:ascii="Times New Roman;Times;serif" w:hAnsi="Times New Roman;Times;serif"/>
          <w:b/>
          <w:sz w:val="20"/>
        </w:rPr>
        <w:t>ITEM 9B. OTHER INFORMATION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Shareholder Return Performance Graphs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graphs below illustrate the annual change in cumulative total shareholder return on the Company’s common stock over the five- and ten-year periods ended December 27, 2025, in comparison to the cumulative total returns of the S&amp;P MidCap 400 Index and the S&amp;P 400 Industrial Machinery &amp; Supplies &amp; Components Index. The Company has been included in these indices by S&amp;P Global Ratings since 2009. Each graph assumes an initial investment of $100 in Valmont Industries, Inc. common stock and in each index, with all dividends reinvested.</w:t>
      </w:r>
    </w:p>
    <w:p>
      <w:pPr>
        <w:pStyle w:val="TextBody"/>
        <w:bidi w:val="0"/>
        <w:spacing w:before="0" w:after="240"/>
        <w:ind w:left="0" w:right="0" w:hanging="0"/>
        <w:jc w:val="center"/>
        <w:rPr/>
      </w:pPr>
      <w:r>
        <w:rPr/>
        <w:drawing>
          <wp:inline distT="0" distB="0" distL="0" distR="0">
            <wp:extent cx="5358130" cy="3328670"/>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2"/>
                    <a:stretch>
                      <a:fillRect/>
                    </a:stretch>
                  </pic:blipFill>
                  <pic:spPr bwMode="auto">
                    <a:xfrm>
                      <a:off x="0" y="0"/>
                      <a:ext cx="5358130" cy="3328670"/>
                    </a:xfrm>
                    <a:prstGeom prst="rect">
                      <a:avLst/>
                    </a:prstGeom>
                  </pic:spPr>
                </pic:pic>
              </a:graphicData>
            </a:graphic>
          </wp:inline>
        </w:drawing>
      </w:r>
    </w:p>
    <w:p>
      <w:pPr>
        <w:pStyle w:val="TextBody"/>
        <w:bidi w:val="0"/>
        <w:spacing w:before="0" w:after="240"/>
        <w:ind w:left="0" w:right="0" w:hanging="0"/>
        <w:jc w:val="center"/>
        <w:rPr/>
      </w:pPr>
      <w:r>
        <w:rPr/>
        <w:drawing>
          <wp:inline distT="0" distB="0" distL="0" distR="0">
            <wp:extent cx="5358130" cy="3321050"/>
            <wp:effectExtent l="0" t="0" r="0" b="0"/>
            <wp:docPr id="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 descr=""/>
                    <pic:cNvPicPr>
                      <a:picLocks noChangeAspect="1" noChangeArrowheads="1"/>
                    </pic:cNvPicPr>
                  </pic:nvPicPr>
                  <pic:blipFill>
                    <a:blip r:embed="rId3"/>
                    <a:stretch>
                      <a:fillRect/>
                    </a:stretch>
                  </pic:blipFill>
                  <pic:spPr bwMode="auto">
                    <a:xfrm>
                      <a:off x="0" y="0"/>
                      <a:ext cx="5358130" cy="3321050"/>
                    </a:xfrm>
                    <a:prstGeom prst="rect">
                      <a:avLst/>
                    </a:prstGeom>
                  </pic:spPr>
                </pic:pic>
              </a:graphicData>
            </a:graphic>
          </wp:inline>
        </w:drawing>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40"/>
        <w:ind w:left="0" w:right="0" w:hanging="0"/>
        <w:jc w:val="left"/>
        <w:rPr>
          <w:rFonts w:ascii="Times New Roman;Times;serif" w:hAnsi="Times New Roman;Times;serif"/>
          <w:b/>
          <w:sz w:val="20"/>
        </w:rPr>
      </w:pPr>
      <w:bookmarkStart w:id="2572" w:name="a0ITEM9CDISCLOSUREREGARDINGFOREIGNJURISD"/>
      <w:bookmarkStart w:id="2573" w:name="_94e3ceb2_f7f5_4566_9b01_8f393a164499"/>
      <w:bookmarkStart w:id="2574" w:name="_0ITEM_9C._DISCLOSURE"/>
      <w:bookmarkEnd w:id="2572"/>
      <w:bookmarkEnd w:id="2573"/>
      <w:bookmarkEnd w:id="2574"/>
      <w:r>
        <w:rPr>
          <w:rFonts w:ascii="Times New Roman;Times;serif" w:hAnsi="Times New Roman;Times;serif"/>
          <w:b/>
          <w:sz w:val="20"/>
        </w:rPr>
        <w:t>ITEM 9C. DISCLOSURE REGARDING FOREIGN JURISDICTIONS THAT PREVENT INSPECTIONS</w:t>
      </w:r>
    </w:p>
    <w:p>
      <w:pPr>
        <w:pStyle w:val="TextBody"/>
        <w:bidi w:val="0"/>
        <w:spacing w:lineRule="atLeast" w:line="200"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75" w:name="PARTIII_395579"/>
      <w:bookmarkStart w:id="2576" w:name="_513836f6_f722_4712_bea0_3942b57b3f9b"/>
      <w:bookmarkEnd w:id="2575"/>
      <w:bookmarkEnd w:id="2576"/>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2577" w:name="ITEM10DIRECTORSEXECUTIVEOFFICERSANDCORPO"/>
      <w:bookmarkEnd w:id="2577"/>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for information on the Company’s executive officers in Part I of this Form 10-K, the information required by Items 10, 11, and 13 is incorporated by reference from sections in the Company’s Proxy Statement, including: “Certain Shareholders,” “Corporate Governance,” “Board of Directors and Election of Directors,” “Board Committees,” “Compensation Discussion and Analysis,” “Compensation Risk Assessment,” “Human Resources Committee Report,” “Pay Ratio Information,” “Summary Compensation Table,” “Grants of Plan-Based Awards for Fiscal 2025,” “Outstanding Equity Awards at Fiscal Year-End,” “Options Exercised and Stock Vested in Fiscal 2025,” “Nonqualified Deferred Compensation,” “Director Compensation,” “Potential Payments Upon Termination or Change-in-Control,” and “Delinquent Section 16(a) Reports.”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adopted a Code of Ethics for Senior Officers, applying to the CEO, CFO, and Chief Accounting Officer, which is posted on the Company’s website at www.valmont.com under the “Investors” link. The Company intends to meet disclosure requirements under Item 5.05 of Form 8-K for any amendments to or waivers of this Code of Ethics for Senior Officers by posting such information on the Company’s website.</w:t>
      </w:r>
    </w:p>
    <w:p>
      <w:pPr>
        <w:pStyle w:val="TextBody"/>
        <w:bidi w:val="0"/>
        <w:spacing w:before="0" w:after="240"/>
        <w:ind w:left="0" w:right="0" w:hanging="0"/>
        <w:jc w:val="left"/>
        <w:rPr>
          <w:rFonts w:ascii="Times New Roman;Times;serif" w:hAnsi="Times New Roman;Times;serif"/>
          <w:b/>
          <w:sz w:val="20"/>
        </w:rPr>
      </w:pPr>
      <w:bookmarkStart w:id="2578" w:name="ITEM11EXECUTIVECOMPENSATION_239145"/>
      <w:bookmarkStart w:id="2579" w:name="_24e26ccf_c712_4726_940a_5b0fc6a77ab4"/>
      <w:bookmarkEnd w:id="2578"/>
      <w:bookmarkEnd w:id="2579"/>
      <w:r>
        <w:rPr>
          <w:rFonts w:ascii="Times New Roman;Times;serif" w:hAnsi="Times New Roman;Times;serif"/>
          <w:b/>
          <w:sz w:val="20"/>
        </w:rPr>
        <w:t>ITEM 11. EXECUTIVE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10.</w:t>
      </w:r>
    </w:p>
    <w:p>
      <w:pPr>
        <w:pStyle w:val="TextBody"/>
        <w:bidi w:val="0"/>
        <w:spacing w:before="0" w:after="240"/>
        <w:ind w:left="0" w:right="0" w:hanging="0"/>
        <w:jc w:val="left"/>
        <w:rPr>
          <w:rFonts w:ascii="Times New Roman;Times;serif" w:hAnsi="Times New Roman;Times;serif"/>
          <w:b/>
          <w:sz w:val="20"/>
        </w:rPr>
      </w:pPr>
      <w:bookmarkStart w:id="2580" w:name="ITEM12SECURITYOWNERSHIPOFCERTAINBENEFICI"/>
      <w:bookmarkStart w:id="2581" w:name="_4b8699e2_a4dd_4edb_b529_3997dab528af"/>
      <w:bookmarkEnd w:id="2580"/>
      <w:bookmarkEnd w:id="2581"/>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required for this item is incorporated by reference from the sections titled “Certain Shareholders” and “Equity Compensation Plan Information” in the Company’s Proxy Statement.</w:t>
      </w:r>
    </w:p>
    <w:p>
      <w:pPr>
        <w:pStyle w:val="TextBody"/>
        <w:bidi w:val="0"/>
        <w:spacing w:before="0" w:after="240"/>
        <w:ind w:left="0" w:right="0" w:hanging="0"/>
        <w:jc w:val="left"/>
        <w:rPr>
          <w:rFonts w:ascii="Times New Roman;Times;serif" w:hAnsi="Times New Roman;Times;serif"/>
          <w:b/>
          <w:sz w:val="20"/>
        </w:rPr>
      </w:pPr>
      <w:bookmarkStart w:id="2582" w:name="ITEM13CERTAINRELATIONSHIPSANDRELATEDTRAN"/>
      <w:bookmarkStart w:id="2583" w:name="_1594c45a_911c_4d03_bdea_a4343cb7a133"/>
      <w:bookmarkEnd w:id="2582"/>
      <w:bookmarkEnd w:id="2583"/>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10.</w:t>
      </w:r>
    </w:p>
    <w:p>
      <w:pPr>
        <w:pStyle w:val="TextBody"/>
        <w:bidi w:val="0"/>
        <w:spacing w:before="0" w:after="240"/>
        <w:ind w:left="0" w:right="0" w:hanging="0"/>
        <w:jc w:val="left"/>
        <w:rPr>
          <w:rFonts w:ascii="Times New Roman;Times;serif" w:hAnsi="Times New Roman;Times;serif"/>
          <w:b/>
          <w:sz w:val="20"/>
        </w:rPr>
      </w:pPr>
      <w:bookmarkStart w:id="2584" w:name="ITEM14PRINCIPALACCOUNTANTFEESANDSERVICES"/>
      <w:bookmarkStart w:id="2585" w:name="_fbbf3c62_e54d_4b88_ab82_990f078fe9d6"/>
      <w:bookmarkEnd w:id="2584"/>
      <w:bookmarkEnd w:id="2585"/>
      <w:r>
        <w:rPr>
          <w:rFonts w:ascii="Times New Roman;Times;serif" w:hAnsi="Times New Roman;Times;serif"/>
          <w:b/>
          <w:sz w:val="20"/>
        </w:rPr>
        <w:t>ITEM 14. PRINCIPAL ACCOUNTANT FEES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required for this item is incorporated by reference from the section titled “Ratification of Appointment of Independent Auditors” in the Company’s Proxy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86" w:name="PARTIV_961412"/>
      <w:bookmarkStart w:id="2587" w:name="_871b241c_1c11_4906_90b4_225678937aa5"/>
      <w:bookmarkEnd w:id="2586"/>
      <w:bookmarkEnd w:id="2587"/>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2588" w:name="ITEM15EXHIBITSANDFINANCIALSTATEMENTSCHED"/>
      <w:bookmarkEnd w:id="2588"/>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(a)(1)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Consolidated Financial Statements of the Company and its subsidiaries are included herein as listed below:</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844" w:type="dxa"/>
            <w:tcBorders/>
            <w:vAlign w:val="center"/>
          </w:tcPr>
          <w:p>
            <w:pPr>
              <w:pStyle w:val="TableContents"/>
              <w:bidi w:val="0"/>
              <w:spacing w:before="0" w:after="0"/>
              <w:ind w:left="0" w:right="0" w:hanging="0"/>
              <w:jc w:val="left"/>
              <w:rPr/>
            </w:pPr>
            <w:hyperlink w:anchor="REPORT_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34)</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844" w:type="dxa"/>
            <w:tcBorders/>
            <w:vAlign w:val="center"/>
          </w:tcPr>
          <w:p>
            <w:pPr>
              <w:pStyle w:val="TableContents"/>
              <w:bidi w:val="0"/>
              <w:spacing w:before="0" w:after="0"/>
              <w:ind w:left="0" w:right="0" w:hanging="0"/>
              <w:jc w:val="left"/>
              <w:rPr/>
            </w:pPr>
            <w:hyperlink w:anchor="CONSOLIDATEDSTATEMENTSOFEARNINGS_504822">
              <w:r>
                <w:rPr>
                  <w:rStyle w:val="InternetLink"/>
                  <w:rFonts w:ascii="Times New Roman;Times;serif" w:hAnsi="Times New Roman;Times;serif"/>
                  <w:b w:val="false"/>
                  <w:i w:val="false"/>
                  <w:caps w:val="false"/>
                  <w:smallCaps w:val="false"/>
                  <w:sz w:val="20"/>
                </w:rPr>
                <w:t>Consolidated Statements of Earnings—Three-Year Period Ended December 27,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844" w:type="dxa"/>
            <w:tcBorders/>
            <w:vAlign w:val="center"/>
          </w:tcPr>
          <w:p>
            <w:pPr>
              <w:pStyle w:val="TableContents"/>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Income—Three-Year Period Ended December 27,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844" w:type="dxa"/>
            <w:tcBorders/>
            <w:vAlign w:val="center"/>
          </w:tcPr>
          <w:p>
            <w:pPr>
              <w:pStyle w:val="TableContents"/>
              <w:bidi w:val="0"/>
              <w:spacing w:before="0" w:after="0"/>
              <w:ind w:left="0" w:right="0" w:hanging="0"/>
              <w:jc w:val="left"/>
              <w:rPr/>
            </w:pPr>
            <w:hyperlink w:anchor="CONSOLIDATEDBALANCESHEETS_363649">
              <w:r>
                <w:rPr>
                  <w:rStyle w:val="InternetLink"/>
                  <w:rFonts w:ascii="Times New Roman;Times;serif" w:hAnsi="Times New Roman;Times;serif"/>
                  <w:b w:val="false"/>
                  <w:i w:val="false"/>
                  <w:caps w:val="false"/>
                  <w:smallCaps w:val="false"/>
                  <w:sz w:val="20"/>
                </w:rPr>
                <w:t>Consolidated Balance Sheets—December 27, 2025 and December 28, 2024</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844" w:type="dxa"/>
            <w:tcBorders/>
            <w:vAlign w:val="center"/>
          </w:tcPr>
          <w:p>
            <w:pPr>
              <w:pStyle w:val="TableContents"/>
              <w:bidi w:val="0"/>
              <w:spacing w:before="0" w:after="0"/>
              <w:ind w:left="0" w:right="0" w:hanging="0"/>
              <w:jc w:val="left"/>
              <w:rPr/>
            </w:pPr>
            <w:hyperlink w:anchor="CONSOLIDATEDSTATEMENTSOFCASHFLOWS_628834">
              <w:r>
                <w:rPr>
                  <w:rStyle w:val="InternetLink"/>
                  <w:rFonts w:ascii="Times New Roman;Times;serif" w:hAnsi="Times New Roman;Times;serif"/>
                  <w:b w:val="false"/>
                  <w:i w:val="false"/>
                  <w:caps w:val="false"/>
                  <w:smallCaps w:val="false"/>
                  <w:sz w:val="20"/>
                </w:rPr>
                <w:t>Consolidated Statements of Cash Flows—Three-Year Period Ended December 27,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844"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and Redeemable Noncontrolling Interests—Three-Year Period Ended December 27,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844" w:type="dxa"/>
            <w:tcBorders/>
            <w:vAlign w:val="center"/>
          </w:tcPr>
          <w:p>
            <w:pPr>
              <w:pStyle w:val="TableContents"/>
              <w:bidi w:val="0"/>
              <w:spacing w:before="0" w:after="0"/>
              <w:ind w:left="0" w:right="0" w:hanging="0"/>
              <w:jc w:val="left"/>
              <w:rPr/>
            </w:pPr>
            <w:hyperlink w:anchor="a1SUMMARYOFSIGNIFICANTACCOUNTINGPOLICIES">
              <w:r>
                <w:rPr>
                  <w:rStyle w:val="InternetLink"/>
                  <w:rFonts w:ascii="Times New Roman;Times;serif" w:hAnsi="Times New Roman;Times;serif"/>
                  <w:b w:val="false"/>
                  <w:i w:val="false"/>
                  <w:caps w:val="false"/>
                  <w:smallCaps w:val="false"/>
                  <w:sz w:val="20"/>
                </w:rPr>
                <w:t>Notes to Consolidated Financial Statements—Three-Year Period Ended December 27,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(a)(2) Financial Statement Schedules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All financial statement schedules have been omitted as the required information is not applicable, not required, or the information is included in the Consolidated Financial Statements or related notes. Separate financial statements of the registrant have been omitted because the registrant meets the requirements which permit omission.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(a)(3) Exhibits</w:t>
      </w:r>
    </w:p>
    <w:p>
      <w:pPr>
        <w:pStyle w:val="TextBody"/>
        <w:bidi w:val="0"/>
        <w:spacing w:before="0" w:after="240"/>
        <w:ind w:left="72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See exhibits listed under Part B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 Exhibits</w:t>
      </w:r>
    </w:p>
    <w:tbl>
      <w:tblPr>
        <w:tblW w:w="10205" w:type="dxa"/>
        <w:jc w:val="left"/>
        <w:tblInd w:w="0" w:type="dxa"/>
        <w:tblLayout w:type="fixed"/>
        <w:tblCellMar>
          <w:top w:w="0" w:type="dxa"/>
          <w:left w:w="0" w:type="dxa"/>
          <w:bottom w:w="0" w:type="dxa"/>
          <w:right w:w="0" w:type="dxa"/>
        </w:tblCellMar>
      </w:tblPr>
      <w:tblGrid>
        <w:gridCol w:w="801"/>
        <w:gridCol w:w="346"/>
        <w:gridCol w:w="9058"/>
      </w:tblGrid>
      <w:tr>
        <w:trPr/>
        <w:tc>
          <w:tcPr>
            <w:tcW w:w="801"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51830" cy="175260"/>
                      <wp:effectExtent l="0" t="0" r="0" b="0"/>
                      <wp:wrapNone/>
                      <wp:docPr id="60" name="Frame58"/>
                      <a:graphic xmlns:a="http://schemas.openxmlformats.org/drawingml/2006/main">
                        <a:graphicData uri="http://schemas.microsoft.com/office/word/2010/wordprocessingShape">
                          <wps:wsp>
                            <wps:cNvSpPr txBox="1"/>
                            <wps:spPr>
                              <a:xfrm>
                                <a:off x="0" y="0"/>
                                <a:ext cx="575183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r>
      <w:tr>
        <w:trPr/>
        <w:tc>
          <w:tcPr>
            <w:tcW w:w="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The Company’s Restated Certificate of Incorporation, as amended. This document was filed as Exhibit 3.1 to the Company’s Quarterly Report on Form 10-Q (Commission file number 001-31429) for the fiscal quarter ended March 28, 2009 and is incorporated herein by reference.</w:t>
              </w:r>
            </w:hyperlink>
          </w:p>
        </w:tc>
      </w:tr>
      <w:tr>
        <w:trPr/>
        <w:tc>
          <w:tcPr>
            <w:tcW w:w="801"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58"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The Company’s Bylaws, as amended. This document was filed as Exhibit 3.2 to the Company’s Current Report on Form 8-K (Commission file number 001-31429) dated December 13, 2022 and is incorporated herein by reference</w:t>
              </w:r>
            </w:hyperlink>
            <w:r>
              <w:rPr>
                <w:rFonts w:ascii="Times New Roman;Times;serif" w:hAnsi="Times New Roman;Times;serif"/>
                <w:sz w:val="20"/>
              </w:rPr>
              <w:t>.</w:t>
            </w:r>
          </w:p>
        </w:tc>
      </w:tr>
      <w:tr>
        <w:trPr/>
        <w:tc>
          <w:tcPr>
            <w:tcW w:w="801"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58"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4.1</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Third Amended and Restated Credit Agreement, dated as of July 10, 2025, among the Company, Valmont Industries Holland B.V. and Valmont Group Pty Ltd., as Borrowers, JPMorgan Chase Bank, N.A., as Administrative Agent, and the other lenders party thereto. This document was filed as Exhibit 10.1 to the Company’s Current Report on Form 8-K (Commission file number 001-31429) dated July 10, 2025 and is incorporated herein by reference.</w:t>
              </w:r>
            </w:hyperlink>
          </w:p>
        </w:tc>
      </w:tr>
      <w:tr>
        <w:trPr/>
        <w:tc>
          <w:tcPr>
            <w:tcW w:w="801"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58"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4.2</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Indenture relating to senior debt, dated as of April 12, 2010, among Valmont Industries, Inc., the Subsidiary Guarantors party thereto and Wells Fargo Bank, National Association, as Trustee. This document was filed as Exhibit 4.1 to the Company’s Current Report on Form 8-K (Commission file number 001-31429) dated April 12, 2010 and is incorporated herein by reference</w:t>
              </w:r>
            </w:hyperlink>
            <w:r>
              <w:rPr>
                <w:rFonts w:ascii="Times New Roman;Times;serif" w:hAnsi="Times New Roman;Times;serif"/>
                <w:sz w:val="20"/>
              </w:rPr>
              <w:t>.</w:t>
            </w:r>
          </w:p>
        </w:tc>
      </w:tr>
      <w:tr>
        <w:trPr/>
        <w:tc>
          <w:tcPr>
            <w:tcW w:w="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4.3</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First Supplemental Indenture, dated as of April 12, 2010, to Indenture relating to senior debt, dated as of April 12, 2010, among Valmont Industries, Inc., the Subsidiary Guarantors party thereto and Wells Fargo Bank, National Association, as Trustee. This document was filed as Exhibit 4.2 to the Company’s Current Report on Form 8-K (Commission file number 001-31429) dated April 12, 2010 and is incorporated herein by reference</w:t>
              </w:r>
            </w:hyperlink>
            <w:r>
              <w:rPr>
                <w:rFonts w:ascii="Times New Roman;Times;serif" w:hAnsi="Times New Roman;Times;serif"/>
                <w:sz w:val="20"/>
              </w:rPr>
              <w:t>.</w:t>
            </w:r>
          </w:p>
        </w:tc>
      </w:tr>
      <w:tr>
        <w:trPr/>
        <w:tc>
          <w:tcPr>
            <w:tcW w:w="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47"/>
        <w:gridCol w:w="346"/>
        <w:gridCol w:w="9012"/>
      </w:tblGrid>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4.4</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Second Supplemental Indenture, dated as of September 22, 2014, to Indenture relating to senior debt, dated as of April 12, 2010, among Valmont Industries, Inc., the Subsidiary Guarantors party thereto and Wells Fargo Bank, National Association, as Trustee. This document was filed as Exhibit 4.2 to the Company’s Current Report on Form 8-K (Commission file number 001-31429) dated September 22, 2014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4.5</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Third Supplemental Indenture, dated as of September 22, 2014, to Indenture relating to senior debt, dated as of April 12, 2010, among Valmont Industries, Inc., the Subsidiary Guarantors party thereto and Wells Fargo Bank, National Association, as Trustee. This document was filed as Exhibit 4.3 to the Company’s Current Report on Form 8-K (Commission file number 001-31429) dated September 22, 2014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4.6</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Description of Registrant’s Securities Registered Pursuant to Section 12 of the Securities Exchange Act of 1934. This document was filed as Exhibit 4.9 to the Company’s Annual Report on Form 10-K (Commission file number 001-31429) for the fiscal year ended December 28, 2019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The Company’s 2013 Stock Plan. This document was filed as Exhibit 10.1 to the Company’s Current Report on Form 8-K (Commission file number 001-31429) dated April 30, 2013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10.2</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2013 Stock Plan Amendment, dated December 17, 2015. This document was filed as Exhibit 10.7 to the Company’s Annual Report on Form 10-K (Commission file number 001-31429) for the fiscal year ended December 26, 2015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10.3</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The Company’s 2018 Stock Plan. This document was filed as Exhibit 10.1 to the Company’s Current Report on Form 8-K (Commission file number 001-31429) dated March 12, 2018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shd w:fill="FFFFFF" w:val="clear"/>
                </w:rPr>
                <w:t>The Company’s 2022 Stock Plan. This document was filed as Exhibit 10.1 to the Company's Current Report on Form 8-K (Commission file number 001-1429) dated March 14, 2022 and is incorporated herein by reference</w:t>
              </w:r>
            </w:hyperlink>
            <w:r>
              <w:rPr>
                <w:rFonts w:ascii="Times New Roman;Times;serif" w:hAnsi="Times New Roman;Times;serif"/>
                <w:sz w:val="20"/>
                <w:shd w:fill="FFFFFF" w:val="clear"/>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10.5</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Stock Option Agreement. This document was filed as Exhibit 10.4 to the Company’s Annual Report on Form 10-K (Commission file number 001-31429) for the fiscal year ended December 25, 2021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10.6</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Restricted Stock Unit Agreement (Domestic). This document was filed as Exhibit 10.5 to the Company’s Annual Report on Form 10-K (Commission file number 001-31429) for the fiscal year ended December 25, 2021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10.7</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Restricted Stock Unit Agreement (Director). This document was filed as Exhibit 10.6 to the Company’s Annual Report on Form 10-K (Commission file number 001-31429) for the fiscal year ended December 25, 2021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10.8</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Restricted Stock Unit Agreement (International). This document was filed as Exhibit 10.7 to the Company’s Annual Report on Form 10-K (Commission file number 001-31429) for the fiscal year ended December 25, 2021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10.9</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Valmont 2013 Executive Incentive Plan. This document was filed as Exhibit 10.2 to the Company’s Current Report on Form 8-K (Commission file number 001-31429) dated April 30, 2013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12"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10.10</w:t>
            </w:r>
          </w:p>
        </w:tc>
        <w:tc>
          <w:tcPr>
            <w:tcW w:w="34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The Amended Unfunded Deferred Compensation Plan for Nonemployee Directors. This document was filed as Exhibit 10.15 to the Company’s Annual Report on Form 10-K (Commission file number 001-31429) for the fiscal year ended December 28, 2013 and is incorporated herein by reference</w:t>
              </w:r>
            </w:hyperlink>
            <w:r>
              <w:rPr>
                <w:rFonts w:ascii="Times New Roman;Times;serif" w:hAnsi="Times New Roman;Times;serif"/>
                <w:sz w:val="20"/>
              </w:rPr>
              <w:t>.</w:t>
            </w:r>
          </w:p>
        </w:tc>
      </w:tr>
      <w:tr>
        <w:trPr/>
        <w:tc>
          <w:tcPr>
            <w:tcW w:w="847"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12" w:type="dxa"/>
            <w:tcBorders/>
            <w:vAlign w:val="center"/>
          </w:tcPr>
          <w:p>
            <w:pPr>
              <w:pStyle w:val="TableContents"/>
              <w:bidi w:val="0"/>
              <w:spacing w:before="0" w:after="0"/>
              <w:ind w:left="0" w:right="0" w:hanging="0"/>
              <w:jc w:val="left"/>
              <w:rPr>
                <w:shd w:fill="FFFF00" w:val="clear"/>
              </w:rPr>
            </w:pPr>
            <w:r>
              <w:rPr>
                <w:shd w:fill="FFFF00" w:val="clea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20"/>
        <w:gridCol w:w="346"/>
        <w:gridCol w:w="9039"/>
      </w:tblGrid>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VERSP Deferred Compensation Plan. This document was filed as Exhibit 10.16 to the Company’s Annual Report on Form 10-K (Commission file number 001-31429) for the fiscal year ended December 28, 2013 and is incorporated herein by reference</w:t>
              </w:r>
            </w:hyperlink>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10.12</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Separation and Release Agreement between John T. Donahue and Valmont Industries, Inc. dated May 14, 2025. This document was filed as Exhibit 10.1 to the Company’s Current Report on Form 8-K (Commission file number 001-31429) dated May 14, 2025 and is incorporated herein by reference.</w:t>
              </w:r>
            </w:hyperlink>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10.13</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Separation and Release Agreement between Diane M. Larkin and Valmont Industries, Inc. dated May 14, 2025. This document was filed as Exhibit 10.2 to the Company’s Current Report on Form 8-K (Commission file number 001-31429) dated May 14, 2025 and is incorporated herein by reference.</w:t>
              </w:r>
            </w:hyperlink>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19.1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Valmont Industries, Inc. Insider Trading Policy. This document was filed as Exhibit 19.1 to the Company’s Annual Report on Form 10-K (Commission file number 001-31429) for the fiscal year ended December 28, 2024 and is incorporated herein by reference.</w:t>
              </w:r>
            </w:hyperlink>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w:anchor="vmi-20251227xex21.htm">
              <w:r>
                <w:rPr>
                  <w:rStyle w:val="InternetLink"/>
                  <w:rFonts w:ascii="Times New Roman;Times;serif" w:hAnsi="Times New Roman;Times;serif"/>
                  <w:b w:val="false"/>
                  <w:i w:val="false"/>
                  <w:caps w:val="false"/>
                  <w:smallCaps w:val="false"/>
                  <w:sz w:val="20"/>
                </w:rPr>
                <w:t>Subsidiaries of Valmont Industries, Inc.</w:t>
              </w:r>
            </w:hyperlink>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22.1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List of Issuer and Guarantor Subsidiaries. This document was filed as Exhibit 22.1 to the Company’s Quarterly Report on Form 10-Q (Commission file number 001-31429) for the fiscal quarter ended September 25, 2021 and is incorporated herein by reference</w:t>
              </w:r>
            </w:hyperlink>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23*</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w:anchor="vmi-20251227xex23.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24*</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w:anchor="vmi-20251227xex24.htm">
              <w:r>
                <w:rPr>
                  <w:rStyle w:val="InternetLink"/>
                  <w:rFonts w:ascii="Times New Roman;Times;serif" w:hAnsi="Times New Roman;Times;serif"/>
                  <w:b w:val="false"/>
                  <w:i w:val="false"/>
                  <w:caps w:val="false"/>
                  <w:smallCaps w:val="false"/>
                  <w:sz w:val="20"/>
                </w:rPr>
                <w:t>Power of Attorney</w:t>
              </w:r>
            </w:hyperlink>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w:anchor="vmi-20251227xex31d1.htm">
              <w:r>
                <w:rPr>
                  <w:rStyle w:val="InternetLink"/>
                  <w:rFonts w:ascii="Times New Roman;Times;serif" w:hAnsi="Times New Roman;Times;serif"/>
                  <w:b w:val="false"/>
                  <w:i w:val="false"/>
                  <w:caps w:val="false"/>
                  <w:smallCaps w:val="false"/>
                  <w:sz w:val="20"/>
                </w:rPr>
                <w:t>Section 302 Certification of the Chief Executive Officer</w:t>
              </w:r>
            </w:hyperlink>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31.2*</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w:anchor="vmi-20251227xex31d2.htm">
              <w:r>
                <w:rPr>
                  <w:rStyle w:val="InternetLink"/>
                  <w:rFonts w:ascii="Times New Roman;Times;serif" w:hAnsi="Times New Roman;Times;serif"/>
                  <w:b w:val="false"/>
                  <w:i w:val="false"/>
                  <w:caps w:val="false"/>
                  <w:smallCaps w:val="false"/>
                  <w:sz w:val="20"/>
                </w:rPr>
                <w:t>Section 302 Certification of the Chief Financial Officer</w:t>
              </w:r>
            </w:hyperlink>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w:anchor="vmi-20251227xex32d1.htm">
              <w:r>
                <w:rPr>
                  <w:rStyle w:val="InternetLink"/>
                  <w:rFonts w:ascii="Times New Roman;Times;serif" w:hAnsi="Times New Roman;Times;serif"/>
                  <w:b w:val="false"/>
                  <w:i w:val="false"/>
                  <w:caps w:val="false"/>
                  <w:smallCaps w:val="false"/>
                  <w:sz w:val="20"/>
                </w:rPr>
                <w:t>Section 906 Certifications</w:t>
              </w:r>
            </w:hyperlink>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97.1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Valmont Industries, Inc. Policy for the Recovery of Erroneously Awarded Compensation. This document was filed as Exhibit 97.1 to the Company’s Annual Report on Form 10-K (Commission file number 001-31429) for the fiscal year ended December 30, 2023 and is incorporated herein by reference.</w:t>
              </w:r>
            </w:hyperlink>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the Company’s Annual Report on Form 10-K for the fiscal year ended December 27, 2025, formatted in Inline XBRL (eXtensible Business Reporting Language): (i) the Consolidated Statements of Earnings, (ii) the Consolidated Statements of Comprehensive Income, (iii) the Consolidated Balance Sheets, (iv) the Consolidated Statements of Cash Flows, (v) the Consolidated Statements of Shareholders’ Equity and Redeemable Noncontrolling Interests, (vi) Notes to Consolidated Financial Statements, and (vii) document and entity information.</w:t>
            </w:r>
          </w:p>
        </w:tc>
      </w:tr>
      <w:tr>
        <w:trPr/>
        <w:tc>
          <w:tcPr>
            <w:tcW w:w="82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9"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346" w:type="dxa"/>
            <w:tcBorders/>
            <w:vAlign w:val="center"/>
          </w:tcPr>
          <w:p>
            <w:pPr>
              <w:pStyle w:val="TableContents"/>
              <w:bidi w:val="0"/>
              <w:spacing w:before="0" w:after="0"/>
              <w:ind w:left="0" w:right="0" w:hanging="0"/>
              <w:jc w:val="left"/>
              <w:rPr/>
            </w:pPr>
            <w:r>
              <w:rPr/>
              <w:t>—</w:t>
            </w:r>
          </w:p>
        </w:tc>
        <w:tc>
          <w:tcPr>
            <w:tcW w:w="90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File (formatted as Inline XBRL and contained in Exhibit 101).</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Item 601(b)(4) of Regulation S-K, certain instruments with respect to the registrant’s long-term debt are not filed with this Form 10-K. The Company will furnish a copy of any such long-term debt agreement to the Securities and Exchange Commission upon request.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contracts and compensatory plans are set forth as Exhibits 10.1 through 10.13.</w:t>
      </w:r>
    </w:p>
    <w:p>
      <w:pPr>
        <w:pStyle w:val="TextBody"/>
        <w:bidi w:val="0"/>
        <w:spacing w:before="0" w:after="240"/>
        <w:ind w:left="0" w:right="0" w:hanging="0"/>
        <w:jc w:val="left"/>
        <w:rPr>
          <w:rFonts w:ascii="Times New Roman;Times;serif" w:hAnsi="Times New Roman;Times;serif"/>
          <w:b/>
          <w:sz w:val="20"/>
        </w:rPr>
      </w:pPr>
      <w:bookmarkStart w:id="2589" w:name="ITEM16FORM10KSUMMARY_265220"/>
      <w:bookmarkStart w:id="2590" w:name="_f59a030f_30ba_42fc_bbd7_6e3741bd12bd"/>
      <w:bookmarkEnd w:id="2589"/>
      <w:bookmarkEnd w:id="2590"/>
      <w:r>
        <w:rPr>
          <w:rFonts w:ascii="Times New Roman;Times;serif" w:hAnsi="Times New Roman;Times;serif"/>
          <w:b/>
          <w:sz w:val="20"/>
        </w:rPr>
        <w:t>ITEM 16. FORM 10-K SUMMARY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91" w:name="SIGNATURES_439946"/>
      <w:bookmarkStart w:id="2592" w:name="_2dd83303_b25d_4623_ba3d_9a49e90df002"/>
      <w:bookmarkEnd w:id="2591"/>
      <w:bookmarkEnd w:id="2592"/>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 on the 23rd day of February, 2026.</w:t>
      </w:r>
    </w:p>
    <w:tbl>
      <w:tblPr>
        <w:tblW w:w="3771" w:type="dxa"/>
        <w:jc w:val="left"/>
        <w:tblInd w:w="0" w:type="dxa"/>
        <w:tblLayout w:type="fixed"/>
        <w:tblCellMar>
          <w:top w:w="0" w:type="dxa"/>
          <w:left w:w="0" w:type="dxa"/>
          <w:bottom w:w="0" w:type="dxa"/>
          <w:right w:w="0" w:type="dxa"/>
        </w:tblCellMar>
      </w:tblPr>
      <w:tblGrid>
        <w:gridCol w:w="124"/>
        <w:gridCol w:w="406"/>
        <w:gridCol w:w="32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8740" cy="175260"/>
                      <wp:effectExtent l="0" t="0" r="0" b="0"/>
                      <wp:wrapNone/>
                      <wp:docPr id="61" name="Frame5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58035" cy="175260"/>
                      <wp:effectExtent l="0" t="0" r="0" b="0"/>
                      <wp:wrapNone/>
                      <wp:docPr id="62" name="Frame6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36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VALMONT INDUSTRIES, INC.</w:t>
            </w:r>
          </w:p>
        </w:tc>
      </w:tr>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36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AVNER M. APPLBAUM</w:t>
            </w:r>
          </w:p>
        </w:tc>
      </w:tr>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324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Avner M. Applbaum</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72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indicated, on the 23rd day of February, 2026.</w:t>
      </w:r>
    </w:p>
    <w:tbl>
      <w:tblPr>
        <w:tblW w:w="7218" w:type="dxa"/>
        <w:jc w:val="left"/>
        <w:tblInd w:w="0" w:type="dxa"/>
        <w:tblLayout w:type="fixed"/>
        <w:tblCellMar>
          <w:top w:w="0" w:type="dxa"/>
          <w:left w:w="0" w:type="dxa"/>
          <w:bottom w:w="0" w:type="dxa"/>
          <w:right w:w="0" w:type="dxa"/>
        </w:tblCellMar>
      </w:tblPr>
      <w:tblGrid>
        <w:gridCol w:w="2386"/>
        <w:gridCol w:w="346"/>
        <w:gridCol w:w="44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15110" cy="525780"/>
                      <wp:effectExtent l="0" t="0" r="0" b="0"/>
                      <wp:wrapNone/>
                      <wp:docPr id="63" name="Frame61"/>
                      <a:graphic xmlns:a="http://schemas.openxmlformats.org/drawingml/2006/main">
                        <a:graphicData uri="http://schemas.microsoft.com/office/word/2010/wordprocessingShape">
                          <wps:wsp>
                            <wps:cNvSpPr txBox="1"/>
                            <wps:spPr>
                              <a:xfrm>
                                <a:off x="0" y="0"/>
                                <a:ext cx="1515110" cy="52578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48610" cy="175260"/>
                      <wp:effectExtent l="0" t="0" r="0" b="0"/>
                      <wp:wrapNone/>
                      <wp:docPr id="64" name="Frame62"/>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center"/>
              <w:rPr/>
            </w:pPr>
            <w:r>
              <w:rPr/>
              <w:t>  ​ ​ ​</w:t>
            </w:r>
          </w:p>
        </w:tc>
        <w:tc>
          <w:tcPr>
            <w:tcW w:w="4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AVNER M. APPLBAUM</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President and Chief Executive Officer </w:t>
              <w:br/>
              <w:t>(Principal Executive Officer)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Avner M. Applbaum</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THOMAS LIGUORI</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br/>
              <w:t>(Principal Financial Officer)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Thomas Liguori</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E. JOHNSON</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Accounting Officer </w:t>
              <w:br/>
              <w:t>(Principal Accounting Officer)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E. Johnson</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10" w:after="0"/>
              <w:ind w:left="0" w:right="0" w:hanging="0"/>
              <w:jc w:val="left"/>
              <w:rPr>
                <w:rFonts w:ascii="Times New Roman;Times;serif" w:hAnsi="Times New Roman;Times;serif"/>
                <w:sz w:val="20"/>
              </w:rPr>
            </w:pPr>
            <w:r>
              <w:rPr>
                <w:rFonts w:ascii="Times New Roman;Times;serif" w:hAnsi="Times New Roman;Times;serif"/>
                <w:sz w:val="20"/>
              </w:rPr>
              <w:t>Mogens C. Bay*</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10" w:after="0"/>
              <w:ind w:left="0" w:right="0" w:hanging="0"/>
              <w:jc w:val="both"/>
              <w:rPr>
                <w:rFonts w:ascii="Times New Roman;Times;serif" w:hAnsi="Times New Roman;Times;serif"/>
                <w:sz w:val="20"/>
              </w:rPr>
            </w:pPr>
            <w:r>
              <w:rPr>
                <w:rFonts w:ascii="Times New Roman;Times;serif" w:hAnsi="Times New Roman;Times;serif"/>
                <w:sz w:val="20"/>
              </w:rPr>
              <w:t>James B. Milliken*</w:t>
            </w:r>
          </w:p>
        </w:tc>
      </w:tr>
      <w:tr>
        <w:trPr/>
        <w:tc>
          <w:tcPr>
            <w:tcW w:w="2386" w:type="dxa"/>
            <w:tcBorders/>
            <w:vAlign w:val="center"/>
          </w:tcPr>
          <w:p>
            <w:pPr>
              <w:pStyle w:val="TableContents"/>
              <w:bidi w:val="0"/>
              <w:spacing w:before="10" w:after="0"/>
              <w:ind w:left="0" w:right="0" w:hanging="0"/>
              <w:jc w:val="left"/>
              <w:rPr>
                <w:rFonts w:ascii="Times New Roman;Times;serif" w:hAnsi="Times New Roman;Times;serif"/>
                <w:sz w:val="20"/>
              </w:rPr>
            </w:pPr>
            <w:r>
              <w:rPr>
                <w:rFonts w:ascii="Times New Roman;Times;serif" w:hAnsi="Times New Roman;Times;serif"/>
                <w:sz w:val="20"/>
              </w:rPr>
              <w:t>Deborah Caplan*</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10" w:after="0"/>
              <w:ind w:left="0" w:right="0" w:hanging="0"/>
              <w:jc w:val="both"/>
              <w:rPr>
                <w:rFonts w:ascii="Times New Roman;Times;serif" w:hAnsi="Times New Roman;Times;serif"/>
                <w:sz w:val="20"/>
              </w:rPr>
            </w:pPr>
            <w:r>
              <w:rPr>
                <w:rFonts w:ascii="Times New Roman;Times;serif" w:hAnsi="Times New Roman;Times;serif"/>
                <w:sz w:val="20"/>
              </w:rPr>
              <w:t>Daniel P. Neary*</w:t>
            </w:r>
          </w:p>
        </w:tc>
      </w:tr>
      <w:tr>
        <w:trPr/>
        <w:tc>
          <w:tcPr>
            <w:tcW w:w="2386" w:type="dxa"/>
            <w:tcBorders/>
            <w:vAlign w:val="center"/>
          </w:tcPr>
          <w:p>
            <w:pPr>
              <w:pStyle w:val="TableContents"/>
              <w:bidi w:val="0"/>
              <w:spacing w:before="10" w:after="0"/>
              <w:ind w:left="0" w:right="0" w:hanging="0"/>
              <w:jc w:val="left"/>
              <w:rPr>
                <w:rFonts w:ascii="Times New Roman;Times;serif" w:hAnsi="Times New Roman;Times;serif"/>
                <w:sz w:val="20"/>
              </w:rPr>
            </w:pPr>
            <w:r>
              <w:rPr>
                <w:rFonts w:ascii="Times New Roman;Times;serif" w:hAnsi="Times New Roman;Times;serif"/>
                <w:sz w:val="20"/>
              </w:rPr>
              <w:t>Ritu C. Favre*</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10" w:after="0"/>
              <w:ind w:left="0" w:right="0" w:hanging="0"/>
              <w:jc w:val="both"/>
              <w:rPr>
                <w:rFonts w:ascii="Times New Roman;Times;serif" w:hAnsi="Times New Roman;Times;serif"/>
                <w:sz w:val="20"/>
              </w:rPr>
            </w:pPr>
            <w:r>
              <w:rPr>
                <w:rFonts w:ascii="Times New Roman;Times;serif" w:hAnsi="Times New Roman;Times;serif"/>
                <w:sz w:val="20"/>
              </w:rPr>
              <w:t>Catherine J. Paglia*</w:t>
            </w:r>
          </w:p>
        </w:tc>
      </w:tr>
      <w:tr>
        <w:trPr/>
        <w:tc>
          <w:tcPr>
            <w:tcW w:w="2386" w:type="dxa"/>
            <w:tcBorders/>
            <w:vAlign w:val="center"/>
          </w:tcPr>
          <w:p>
            <w:pPr>
              <w:pStyle w:val="TableContents"/>
              <w:bidi w:val="0"/>
              <w:spacing w:before="10" w:after="0"/>
              <w:ind w:left="0" w:right="0" w:hanging="0"/>
              <w:jc w:val="left"/>
              <w:rPr>
                <w:rFonts w:ascii="Times New Roman;Times;serif" w:hAnsi="Times New Roman;Times;serif"/>
                <w:sz w:val="20"/>
              </w:rPr>
            </w:pPr>
            <w:r>
              <w:rPr>
                <w:rFonts w:ascii="Times New Roman;Times;serif" w:hAnsi="Times New Roman;Times;serif"/>
                <w:sz w:val="20"/>
              </w:rPr>
              <w:t>Dr. Theo W. Freye*</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10" w:after="0"/>
              <w:ind w:left="0" w:right="0" w:hanging="0"/>
              <w:jc w:val="both"/>
              <w:rPr>
                <w:rFonts w:ascii="Times New Roman;Times;serif" w:hAnsi="Times New Roman;Times;serif"/>
                <w:sz w:val="20"/>
              </w:rPr>
            </w:pPr>
            <w:r>
              <w:rPr>
                <w:rFonts w:ascii="Times New Roman;Times;serif" w:hAnsi="Times New Roman;Times;serif"/>
                <w:sz w:val="20"/>
              </w:rPr>
              <w:t>Joan Robinson-Berry*</w:t>
            </w:r>
          </w:p>
        </w:tc>
      </w:tr>
      <w:tr>
        <w:trPr/>
        <w:tc>
          <w:tcPr>
            <w:tcW w:w="2386" w:type="dxa"/>
            <w:tcBorders/>
            <w:vAlign w:val="center"/>
          </w:tcPr>
          <w:p>
            <w:pPr>
              <w:pStyle w:val="TableContents"/>
              <w:bidi w:val="0"/>
              <w:spacing w:before="10" w:after="0"/>
              <w:ind w:left="0" w:right="0" w:hanging="0"/>
              <w:jc w:val="left"/>
              <w:rPr>
                <w:rFonts w:ascii="Times New Roman;Times;serif" w:hAnsi="Times New Roman;Times;serif"/>
                <w:sz w:val="20"/>
              </w:rPr>
            </w:pPr>
            <w:r>
              <w:rPr>
                <w:rFonts w:ascii="Times New Roman;Times;serif" w:hAnsi="Times New Roman;Times;serif"/>
                <w:sz w:val="20"/>
              </w:rPr>
              <w:t>Richard A. Lanoha*</w:t>
            </w:r>
          </w:p>
        </w:tc>
        <w:tc>
          <w:tcPr>
            <w:tcW w:w="346" w:type="dxa"/>
            <w:tcBorders/>
            <w:vAlign w:val="center"/>
          </w:tcPr>
          <w:p>
            <w:pPr>
              <w:pStyle w:val="TableContents"/>
              <w:bidi w:val="0"/>
              <w:spacing w:before="0" w:after="0"/>
              <w:ind w:left="0" w:right="0" w:hanging="0"/>
              <w:jc w:val="left"/>
              <w:rPr/>
            </w:pPr>
            <w:r>
              <w:rPr/>
              <w:t>​</w:t>
            </w:r>
          </w:p>
        </w:tc>
        <w:tc>
          <w:tcPr>
            <w:tcW w:w="4486" w:type="dxa"/>
            <w:tcBorders/>
            <w:vAlign w:val="center"/>
          </w:tcPr>
          <w:p>
            <w:pPr>
              <w:pStyle w:val="TableContents"/>
              <w:bidi w:val="0"/>
              <w:spacing w:before="10" w:after="0"/>
              <w:ind w:left="0" w:right="0" w:hanging="0"/>
              <w:jc w:val="both"/>
              <w:rPr/>
            </w:pPr>
            <w:r>
              <w:rPr/>
              <w:t>​</w:t>
            </w:r>
          </w:p>
        </w:tc>
      </w:tr>
      <w:tr>
        <w:trPr/>
        <w:tc>
          <w:tcPr>
            <w:tcW w:w="2386"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4486" w:type="dxa"/>
            <w:tcBorders/>
            <w:vAlign w:val="center"/>
          </w:tcPr>
          <w:p>
            <w:pPr>
              <w:pStyle w:val="TableContents"/>
              <w:bidi w:val="0"/>
              <w:spacing w:before="0" w:after="0"/>
              <w:ind w:left="0" w:right="0" w:hanging="0"/>
              <w:jc w:val="left"/>
              <w:rPr>
                <w:shd w:fill="FFFF00" w:val="clear"/>
              </w:rPr>
            </w:pPr>
            <w:r>
              <w:rPr>
                <w:shd w:fill="FFFF00" w:val="clea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Avner M. Applbaum, by signing his name hereto, signs the Annual Report on behalf of each of the directors indicated on this the 23rd day of February, 2026. A Power of Attorney authorizing Avner M. Applbaum to sign the Annual Report on Form 10-K on behalf of each of the indicated directors of Valmont Industries, Inc. has been filed herein as Exhibit 24.</w:t>
            </w:r>
          </w:p>
        </w:tc>
      </w:tr>
    </w:tbl>
    <w:tbl>
      <w:tblPr>
        <w:tblW w:w="2946" w:type="dxa"/>
        <w:jc w:val="left"/>
        <w:tblInd w:w="0" w:type="dxa"/>
        <w:tblLayout w:type="fixed"/>
        <w:tblCellMar>
          <w:top w:w="0" w:type="dxa"/>
          <w:left w:w="0" w:type="dxa"/>
          <w:bottom w:w="0" w:type="dxa"/>
          <w:right w:w="0" w:type="dxa"/>
        </w:tblCellMar>
      </w:tblPr>
      <w:tblGrid>
        <w:gridCol w:w="124"/>
        <w:gridCol w:w="406"/>
        <w:gridCol w:w="2416"/>
      </w:tblGrid>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2416"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AVNER M. APPLBAUM</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Avner M. Applbaum</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Attorney-in-Fact</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87</w:t>
      </w:r>
    </w:p>
    <w:p>
      <w:pPr>
        <w:pStyle w:val="TextBody"/>
        <w:bidi w:val="0"/>
        <w:spacing w:lineRule="auto" w:line="285" w:before="0" w:after="0"/>
        <w:ind w:left="0" w:right="0" w:hanging="0"/>
        <w:jc w:val="right"/>
        <w:rPr>
          <w:rFonts w:ascii="Times New Roman;Times;serif" w:hAnsi="Times New Roman;Times;serif"/>
          <w:b/>
          <w:sz w:val="20"/>
        </w:rPr>
      </w:pPr>
      <w:bookmarkStart w:id="2593" w:name="vmi-20251227xex21.htm"/>
      <w:bookmarkStart w:id="2594" w:name="ksvmi20251227xex21"/>
      <w:bookmarkEnd w:id="2593"/>
      <w:bookmarkEnd w:id="2594"/>
      <w:r>
        <w:rPr>
          <w:rFonts w:ascii="Times New Roman;Times;serif" w:hAnsi="Times New Roman;Times;serif"/>
          <w:b/>
          <w:sz w:val="20"/>
        </w:rPr>
        <w:t>Exhibit 21</w:t>
      </w:r>
      <w:r>
        <w:br w:type="page"/>
      </w:r>
    </w:p>
    <w:p>
      <w:pPr>
        <w:pStyle w:val="TextBody"/>
        <w:bidi w:val="0"/>
        <w:spacing w:lineRule="auto" w:line="285" w:before="240" w:after="240"/>
        <w:ind w:left="0" w:right="0" w:hanging="0"/>
        <w:jc w:val="center"/>
        <w:rPr>
          <w:rFonts w:ascii="Times New Roman;Times;serif" w:hAnsi="Times New Roman;Times;serif"/>
          <w:b/>
          <w:sz w:val="20"/>
        </w:rPr>
      </w:pPr>
      <w:r>
        <w:rPr>
          <w:rFonts w:ascii="Times New Roman;Times;serif" w:hAnsi="Times New Roman;Times;serif"/>
          <w:b/>
          <w:sz w:val="20"/>
        </w:rPr>
        <w:t>SUBSIDIARIES OF VALMONT INDUSTRIES, INC.</w:t>
      </w:r>
    </w:p>
    <w:tbl>
      <w:tblPr>
        <w:tblW w:w="4326" w:type="dxa"/>
        <w:jc w:val="left"/>
        <w:tblInd w:w="0" w:type="dxa"/>
        <w:tblLayout w:type="fixed"/>
        <w:tblCellMar>
          <w:top w:w="0" w:type="dxa"/>
          <w:left w:w="0" w:type="dxa"/>
          <w:bottom w:w="0" w:type="dxa"/>
          <w:right w:w="0" w:type="dxa"/>
        </w:tblCellMar>
      </w:tblPr>
      <w:tblGrid>
        <w:gridCol w:w="2791"/>
        <w:gridCol w:w="109"/>
        <w:gridCol w:w="142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772285" cy="175260"/>
                      <wp:effectExtent l="0" t="0" r="0" b="0"/>
                      <wp:wrapNone/>
                      <wp:docPr id="65" name="Frame6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60"/>
              <w:ind w:left="0" w:right="0" w:hanging="0"/>
              <w:jc w:val="left"/>
              <w:rPr/>
            </w:pPr>
            <w:r>
              <w:rPr/>
              <w:t>​</w:t>
            </w:r>
          </w:p>
        </w:tc>
      </w:tr>
      <w:tr>
        <w:trPr/>
        <w:tc>
          <w:tcPr>
            <w:tcW w:w="279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b/>
                <w:sz w:val="18"/>
              </w:rPr>
            </w:pPr>
            <w:r>
              <w:rPr>
                <w:rFonts w:ascii="Times New Roman;Times;serif" w:hAnsi="Times New Roman;Times;serif"/>
                <w:b/>
                <w:sz w:val="18"/>
              </w:rPr>
              <w:t>Jurisdiction</w:t>
            </w:r>
          </w:p>
        </w:tc>
      </w:tr>
      <w:tr>
        <w:trPr/>
        <w:tc>
          <w:tcPr>
            <w:tcW w:w="279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Subsidiary </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8"/>
              </w:rPr>
            </w:pPr>
            <w:r>
              <w:rPr>
                <w:rFonts w:ascii="Times New Roman;Times;serif" w:hAnsi="Times New Roman;Times;serif"/>
                <w:b/>
                <w:sz w:val="18"/>
              </w:rPr>
              <w:t>of Incorporation</w:t>
            </w:r>
          </w:p>
        </w:tc>
      </w:tr>
      <w:tr>
        <w:trPr/>
        <w:tc>
          <w:tcPr>
            <w:tcW w:w="27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Delta Ltd.</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4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United Kingdom</w:t>
            </w:r>
          </w:p>
        </w:tc>
      </w:tr>
      <w:tr>
        <w:trPr/>
        <w:tc>
          <w:tcPr>
            <w:tcW w:w="2791"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Australia Pty. Ltd.</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Australia</w:t>
            </w:r>
          </w:p>
        </w:tc>
      </w:tr>
      <w:tr>
        <w:trPr/>
        <w:tc>
          <w:tcPr>
            <w:tcW w:w="27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Coatings, Inc.</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4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Delaware</w:t>
            </w:r>
          </w:p>
        </w:tc>
      </w:tr>
      <w:tr>
        <w:trPr/>
        <w:tc>
          <w:tcPr>
            <w:tcW w:w="2791"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Composite Structures, Inc.</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Colorado</w:t>
            </w:r>
          </w:p>
        </w:tc>
      </w:tr>
      <w:tr>
        <w:trPr/>
        <w:tc>
          <w:tcPr>
            <w:tcW w:w="27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Group Pty. Ltd.</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4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Australia</w:t>
            </w:r>
          </w:p>
        </w:tc>
      </w:tr>
      <w:tr>
        <w:trPr/>
        <w:tc>
          <w:tcPr>
            <w:tcW w:w="2791"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Group Holdings Pty. Ltd.</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Australia</w:t>
            </w:r>
          </w:p>
        </w:tc>
      </w:tr>
      <w:tr>
        <w:trPr/>
        <w:tc>
          <w:tcPr>
            <w:tcW w:w="27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Holdings B.V.</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4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The Netherlands</w:t>
            </w:r>
          </w:p>
        </w:tc>
      </w:tr>
      <w:tr>
        <w:trPr/>
        <w:tc>
          <w:tcPr>
            <w:tcW w:w="2791"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Industries Holland B.V.</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The Netherlands</w:t>
            </w:r>
          </w:p>
        </w:tc>
      </w:tr>
      <w:tr>
        <w:trPr/>
        <w:tc>
          <w:tcPr>
            <w:tcW w:w="27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International Holdings, LLC</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4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Delaware</w:t>
            </w:r>
          </w:p>
        </w:tc>
      </w:tr>
      <w:tr>
        <w:trPr/>
        <w:tc>
          <w:tcPr>
            <w:tcW w:w="2791"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Newmark, Inc.</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Delaware</w:t>
            </w:r>
          </w:p>
        </w:tc>
      </w:tr>
      <w:tr>
        <w:trPr/>
        <w:tc>
          <w:tcPr>
            <w:tcW w:w="27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Queensland Pty. Ltd.</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4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Australia</w:t>
            </w:r>
          </w:p>
        </w:tc>
      </w:tr>
      <w:tr>
        <w:trPr/>
        <w:tc>
          <w:tcPr>
            <w:tcW w:w="2791"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Valmont Telecommunications, Inc.</w:t>
            </w:r>
          </w:p>
        </w:tc>
        <w:tc>
          <w:tcPr>
            <w:tcW w:w="109" w:type="dxa"/>
            <w:tcBorders/>
            <w:vAlign w:val="center"/>
          </w:tcPr>
          <w:p>
            <w:pPr>
              <w:pStyle w:val="TableContents"/>
              <w:bidi w:val="0"/>
              <w:spacing w:lineRule="auto" w:line="307" w:before="0" w:after="160"/>
              <w:ind w:left="0" w:right="0" w:hanging="0"/>
              <w:jc w:val="left"/>
              <w:rPr/>
            </w:pPr>
            <w:r>
              <w:rPr/>
              <w:t>​</w:t>
            </w:r>
          </w:p>
        </w:tc>
        <w:tc>
          <w:tcPr>
            <w:tcW w:w="1426" w:type="dxa"/>
            <w:tcBorders/>
            <w:vAlign w:val="center"/>
          </w:tcPr>
          <w:p>
            <w:pPr>
              <w:pStyle w:val="TableContents"/>
              <w:bidi w:val="0"/>
              <w:spacing w:lineRule="auto" w:line="307" w:before="0" w:after="1"/>
              <w:ind w:left="0" w:right="0" w:hanging="0"/>
              <w:jc w:val="center"/>
              <w:rPr>
                <w:rFonts w:ascii="Times New Roman;Times;serif" w:hAnsi="Times New Roman;Times;serif"/>
                <w:sz w:val="18"/>
              </w:rPr>
            </w:pPr>
            <w:r>
              <w:rPr>
                <w:rFonts w:ascii="Times New Roman;Times;serif" w:hAnsi="Times New Roman;Times;serif"/>
                <w:sz w:val="18"/>
              </w:rPr>
              <w:t>Delaware</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lineRule="auto" w:line="343" w:before="0" w:after="240"/>
        <w:ind w:left="0" w:right="0" w:hanging="180"/>
        <w:jc w:val="right"/>
        <w:rPr>
          <w:rFonts w:ascii="Times New Roman;Times;serif" w:hAnsi="Times New Roman;Times;serif"/>
          <w:b/>
          <w:sz w:val="20"/>
        </w:rPr>
      </w:pPr>
      <w:bookmarkStart w:id="2595" w:name="vmi-20251227xex23.htm"/>
      <w:bookmarkStart w:id="2596" w:name="ksvmi20251227xex23"/>
      <w:bookmarkEnd w:id="2595"/>
      <w:bookmarkEnd w:id="2596"/>
      <w:r>
        <w:rPr>
          <w:rFonts w:ascii="Times New Roman;Times;serif" w:hAnsi="Times New Roman;Times;serif"/>
          <w:b/>
          <w:sz w:val="20"/>
        </w:rPr>
        <w:t>Exhibit 23</w:t>
      </w:r>
      <w:bookmarkStart w:id="2597" w:name="New_Section"/>
      <w:bookmarkEnd w:id="2597"/>
      <w:r>
        <w:br w:type="page"/>
      </w:r>
    </w:p>
    <w:p>
      <w:pPr>
        <w:pStyle w:val="TextBody"/>
        <w:pBdr/>
        <w:bidi w:val="0"/>
        <w:spacing w:lineRule="auto" w:line="343" w:before="0" w:after="0"/>
        <w:ind w:left="0" w:right="0" w:hanging="18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hd w:fill="FFFFFF" w:val="clear"/>
        <w:bidi w:val="0"/>
        <w:spacing w:lineRule="auto" w:line="285" w:before="0" w:after="480"/>
        <w:ind w:left="0" w:right="0" w:hanging="0"/>
        <w:jc w:val="both"/>
        <w:rPr>
          <w:rFonts w:ascii="Helvetica;sans-serif" w:hAnsi="Helvetica;sans-serif"/>
          <w:sz w:val="20"/>
        </w:rPr>
      </w:pPr>
      <w:r>
        <w:rPr>
          <w:rFonts w:ascii="Times New Roman;Times;serif" w:hAnsi="Times New Roman;Times;serif"/>
          <w:sz w:val="20"/>
        </w:rPr>
        <w:t>We consent to the incorporation by reference in Registration Statement Nos. 033-57117, 333-02785, 333-78017, 333-83251, 333-64170, 333-87432, 333-136071, 333-150781, 333-64170, 333-189086, 333-224482, and 333-264485 on Form S-8</w:t>
      </w:r>
      <w:r>
        <w:rPr>
          <w:rFonts w:ascii="Helvetica;sans-serif" w:hAnsi="Helvetica;sans-serif"/>
          <w:sz w:val="20"/>
        </w:rPr>
        <w:t xml:space="preserve"> </w:t>
      </w:r>
      <w:r>
        <w:rPr>
          <w:rFonts w:ascii="Times New Roman;Times;serif" w:hAnsi="Times New Roman;Times;serif"/>
          <w:sz w:val="20"/>
        </w:rPr>
        <w:t>of our reports dated February 23, 2026, relating to the financial statements of Valmont Industries, Inc.</w:t>
      </w:r>
      <w:r>
        <w:rPr>
          <w:rFonts w:ascii="Helvetica;sans-serif" w:hAnsi="Helvetica;sans-serif"/>
          <w:sz w:val="20"/>
        </w:rPr>
        <w:t xml:space="preserve"> </w:t>
      </w:r>
      <w:r>
        <w:rPr>
          <w:rFonts w:ascii="Times New Roman;Times;serif" w:hAnsi="Times New Roman;Times;serif"/>
          <w:sz w:val="20"/>
        </w:rPr>
        <w:t>and the effectiveness of Valmont Industries, Inc.</w:t>
      </w:r>
      <w:r>
        <w:rPr>
          <w:rFonts w:ascii="Helvetica;sans-serif" w:hAnsi="Helvetica;sans-serif"/>
          <w:sz w:val="20"/>
        </w:rPr>
        <w:t>’</w:t>
      </w:r>
      <w:r>
        <w:rPr>
          <w:rFonts w:ascii="Times New Roman;Times;serif" w:hAnsi="Times New Roman;Times;serif"/>
          <w:sz w:val="20"/>
        </w:rPr>
        <w:t>s internal control over financial reporting appearing in this Annual Report on Form 10-K for the year ended</w:t>
      </w:r>
      <w:r>
        <w:rPr>
          <w:rFonts w:ascii="Helvetica;sans-serif" w:hAnsi="Helvetica;sans-serif"/>
          <w:sz w:val="20"/>
        </w:rPr>
        <w:t xml:space="preserve"> </w:t>
      </w:r>
      <w:r>
        <w:rPr>
          <w:rFonts w:ascii="Times New Roman;Times;serif" w:hAnsi="Times New Roman;Times;serif"/>
          <w:sz w:val="20"/>
        </w:rPr>
        <w:t>December 27, 2025.</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Omaha, Nebraska</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February 23, 2026</w:t>
      </w:r>
    </w:p>
    <w:p>
      <w:pPr>
        <w:pStyle w:val="HorizontalLine"/>
        <w:pBdr>
          <w:bottom w:val="double" w:sz="2" w:space="0" w:color="808080"/>
        </w:pBdr>
        <w:bidi w:val="0"/>
        <w:spacing w:before="0" w:after="283"/>
        <w:jc w:val="left"/>
        <w:rPr/>
      </w:pPr>
      <w:r>
        <w:rPr/>
      </w:r>
    </w:p>
    <w:p>
      <w:pPr>
        <w:pStyle w:val="TextBody"/>
        <w:bidi w:val="0"/>
        <w:spacing w:lineRule="auto" w:line="304" w:before="0" w:after="240"/>
        <w:ind w:left="0" w:right="0" w:hanging="0"/>
        <w:jc w:val="right"/>
        <w:rPr>
          <w:rFonts w:ascii="Times New Roman;Times;serif" w:hAnsi="Times New Roman;Times;serif"/>
          <w:b/>
          <w:sz w:val="24"/>
        </w:rPr>
      </w:pPr>
      <w:bookmarkStart w:id="2598" w:name="vmi-20251227xex24.htm"/>
      <w:bookmarkStart w:id="2599" w:name="ksvmi20251227xex24"/>
      <w:bookmarkEnd w:id="2598"/>
      <w:bookmarkEnd w:id="2599"/>
      <w:r>
        <w:rPr>
          <w:rFonts w:ascii="Times New Roman;Times;serif" w:hAnsi="Times New Roman;Times;serif"/>
          <w:b/>
          <w:sz w:val="24"/>
        </w:rPr>
        <w:t>Exhibit 24</w:t>
      </w:r>
      <w:r>
        <w:br w:type="page"/>
      </w:r>
    </w:p>
    <w:p>
      <w:pPr>
        <w:pStyle w:val="TextBody"/>
        <w:bidi w:val="0"/>
        <w:spacing w:lineRule="auto" w:line="304" w:before="0" w:after="24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4" w:before="0" w:after="240"/>
        <w:ind w:left="0" w:right="0" w:firstLine="720"/>
        <w:jc w:val="left"/>
        <w:rPr>
          <w:rFonts w:ascii="Times New Roman;Times;serif" w:hAnsi="Times New Roman;Times;serif"/>
          <w:sz w:val="24"/>
        </w:rPr>
      </w:pPr>
      <w:r>
        <w:rPr>
          <w:rFonts w:ascii="Times New Roman;Times;serif" w:hAnsi="Times New Roman;Times;serif"/>
          <w:sz w:val="24"/>
        </w:rPr>
        <w:t>The undersigned Directors of Valmont Industries, Inc., a Delaware Corporation, hereby constitute and appoint Avner M. Applbaum as their attorney-in-fact to execute, in their name and on their behalf, Valmont’s Annual Report on Form 10-K for the fiscal year ended December 27, 2025, along with any and all subsequent amendments thereto, in their capacities as Directors. The undersigned further ratify and confirm all actions that said attorney-in-fact may lawfully take pursuant to this authorization.</w:t>
      </w:r>
    </w:p>
    <w:p>
      <w:pPr>
        <w:pStyle w:val="TextBody"/>
        <w:bidi w:val="0"/>
        <w:spacing w:lineRule="auto" w:line="304" w:before="0" w:after="160"/>
        <w:ind w:left="0" w:right="0" w:firstLine="720"/>
        <w:jc w:val="left"/>
        <w:rPr>
          <w:rFonts w:ascii="Times New Roman;Times;serif" w:hAnsi="Times New Roman;Times;serif"/>
          <w:sz w:val="24"/>
        </w:rPr>
      </w:pPr>
      <w:r>
        <w:rPr>
          <w:rFonts w:ascii="Times New Roman;Times;serif" w:hAnsi="Times New Roman;Times;serif"/>
          <w:sz w:val="24"/>
        </w:rPr>
        <w:t>Dated this 23rd day of February, 2026.</w:t>
      </w:r>
    </w:p>
    <w:tbl>
      <w:tblPr>
        <w:tblW w:w="6291" w:type="dxa"/>
        <w:jc w:val="center"/>
        <w:tblInd w:w="0" w:type="dxa"/>
        <w:tblLayout w:type="fixed"/>
        <w:tblCellMar>
          <w:top w:w="0" w:type="dxa"/>
          <w:left w:w="0" w:type="dxa"/>
          <w:bottom w:w="0" w:type="dxa"/>
          <w:right w:w="0" w:type="dxa"/>
        </w:tblCellMar>
      </w:tblPr>
      <w:tblGrid>
        <w:gridCol w:w="2911"/>
        <w:gridCol w:w="109"/>
        <w:gridCol w:w="327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848485" cy="29210"/>
                      <wp:effectExtent l="0" t="0" r="0" b="0"/>
                      <wp:wrapNone/>
                      <wp:docPr id="66" name="Frame64"/>
                      <a:graphic xmlns:a="http://schemas.openxmlformats.org/drawingml/2006/main">
                        <a:graphicData uri="http://schemas.microsoft.com/office/word/2010/wordprocessingShape">
                          <wps:wsp>
                            <wps:cNvSpPr txBox="1"/>
                            <wps:spPr>
                              <a:xfrm>
                                <a:off x="0" y="0"/>
                                <a:ext cx="1848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29210"/>
                      <wp:effectExtent l="0" t="0" r="0" b="0"/>
                      <wp:wrapNone/>
                      <wp:docPr id="67" name="Frame6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7085" cy="29210"/>
                      <wp:effectExtent l="0" t="0" r="0" b="0"/>
                      <wp:wrapNone/>
                      <wp:docPr id="68" name="Frame66"/>
                      <a:graphic xmlns:a="http://schemas.openxmlformats.org/drawingml/2006/main">
                        <a:graphicData uri="http://schemas.microsoft.com/office/word/2010/wordprocessingShape">
                          <wps:wsp>
                            <wps:cNvSpPr txBox="1"/>
                            <wps:spPr>
                              <a:xfrm>
                                <a:off x="0" y="0"/>
                                <a:ext cx="207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MOGENS C. BAY</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JAMES B. MILLIKEN</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Mogens C. Bay, Director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James B. Milliken, Director</w:t>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DEBORAH CAPLAN</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DANIEL P. NEARY</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Deborah Caplan, Director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Daniel P. Neary, Director</w:t>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RITU C. FAVRE</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CATHERINE J. PAGLIA</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Ritu C. Favre, Director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Catherine J. Paglia, Director</w:t>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DR. THEO W. FREYE</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JOAN ROBINSON-BERRY</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Dr. Theo W. Freye, Director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Joan Robinson-Berry, Director</w:t>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RICHARD A. LANOHA</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71" w:type="dxa"/>
            <w:tcBorders>
              <w:bottom w:val="single" w:sz="2" w:space="0" w:color="000000"/>
            </w:tcBorders>
            <w:tcMar>
              <w:bottom w:w="28" w:type="dxa"/>
            </w:tcMar>
            <w:vAlign w:val="center"/>
          </w:tcPr>
          <w:p>
            <w:pPr>
              <w:pStyle w:val="TableContents"/>
              <w:bidi w:val="0"/>
              <w:spacing w:lineRule="auto" w:line="304" w:before="0" w:after="160"/>
              <w:ind w:left="0" w:right="0" w:hanging="0"/>
              <w:jc w:val="left"/>
              <w:rPr/>
            </w:pPr>
            <w:r>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Richard A. Lanoha, Director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lineRule="auto" w:line="304" w:before="0" w:after="160"/>
              <w:ind w:left="0" w:right="0" w:hanging="0"/>
              <w:jc w:val="left"/>
              <w:rPr/>
            </w:pPr>
            <w:r>
              <w:rPr/>
              <w:t>​</w:t>
            </w:r>
          </w:p>
        </w:tc>
      </w:tr>
    </w:tbl>
    <w:p>
      <w:pPr>
        <w:pStyle w:val="TextBody"/>
        <w:bidi w:val="0"/>
        <w:spacing w:lineRule="auto" w:line="304"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240"/>
        <w:ind w:left="0" w:right="0" w:hanging="0"/>
        <w:jc w:val="right"/>
        <w:rPr>
          <w:rFonts w:ascii="Times New Roman;Times;serif" w:hAnsi="Times New Roman;Times;serif"/>
          <w:b/>
          <w:sz w:val="18"/>
        </w:rPr>
      </w:pPr>
      <w:bookmarkStart w:id="2600" w:name="vmi-20251227xex31d1.htm"/>
      <w:bookmarkStart w:id="2601" w:name="ksvmi20251227xex31d1"/>
      <w:bookmarkEnd w:id="2600"/>
      <w:bookmarkEnd w:id="2601"/>
      <w:r>
        <w:rPr>
          <w:rFonts w:ascii="Times New Roman;Times;serif" w:hAnsi="Times New Roman;Times;serif"/>
          <w:b/>
          <w:sz w:val="18"/>
        </w:rPr>
        <w:t>Exhibit 31.1</w:t>
      </w:r>
      <w:bookmarkStart w:id="2602" w:name="Exhibit_312__Certification_of_the_Cheif_"/>
      <w:bookmarkEnd w:id="2602"/>
      <w:r>
        <w:br w:type="page"/>
      </w:r>
    </w:p>
    <w:p>
      <w:pPr>
        <w:pStyle w:val="TextBody"/>
        <w:bidi w:val="0"/>
        <w:spacing w:lineRule="auto" w:line="343"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bidi w:val="0"/>
        <w:spacing w:lineRule="auto" w:line="343" w:before="0" w:after="240"/>
        <w:ind w:left="0" w:right="0" w:hanging="0"/>
        <w:jc w:val="left"/>
        <w:rPr>
          <w:rFonts w:ascii="Times New Roman;Times;serif" w:hAnsi="Times New Roman;Times;serif"/>
          <w:sz w:val="18"/>
        </w:rPr>
      </w:pPr>
      <w:r>
        <w:rPr>
          <w:rFonts w:ascii="Times New Roman;Times;serif" w:hAnsi="Times New Roman;Times;serif"/>
          <w:sz w:val="18"/>
        </w:rPr>
        <w:t>I, Avner M. Applbaum, certify that:</w:t>
      </w:r>
    </w:p>
    <w:tbl>
      <w:tblPr>
        <w:tblW w:w="8425" w:type="dxa"/>
        <w:jc w:val="left"/>
        <w:tblInd w:w="0" w:type="dxa"/>
        <w:tblLayout w:type="fixed"/>
        <w:tblCellMar>
          <w:top w:w="0" w:type="dxa"/>
          <w:left w:w="0" w:type="dxa"/>
          <w:bottom w:w="0" w:type="dxa"/>
          <w:right w:w="0" w:type="dxa"/>
        </w:tblCellMar>
      </w:tblPr>
      <w:tblGrid>
        <w:gridCol w:w="155"/>
        <w:gridCol w:w="8270"/>
      </w:tblGrid>
      <w:tr>
        <w:trPr/>
        <w:tc>
          <w:tcPr>
            <w:tcW w:w="15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1.</w:t>
            </w:r>
          </w:p>
        </w:tc>
        <w:tc>
          <w:tcPr>
            <w:tcW w:w="827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I have reviewed this annual report on Form 10-K for the year ended December 27, 2025 of Valmont Industries,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w:t>
            </w:r>
          </w:p>
        </w:tc>
        <w:tc>
          <w:tcPr>
            <w:tcW w:w="1006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w:t>
            </w:r>
          </w:p>
        </w:tc>
        <w:tc>
          <w:tcPr>
            <w:tcW w:w="1005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c)</w:t>
            </w:r>
          </w:p>
        </w:tc>
        <w:tc>
          <w:tcPr>
            <w:tcW w:w="10057"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w:t>
            </w:r>
          </w:p>
        </w:tc>
        <w:tc>
          <w:tcPr>
            <w:tcW w:w="1005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w:t>
            </w:r>
          </w:p>
        </w:tc>
        <w:tc>
          <w:tcPr>
            <w:tcW w:w="10056"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w:t>
            </w:r>
          </w:p>
        </w:tc>
        <w:tc>
          <w:tcPr>
            <w:tcW w:w="10023"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8740" cy="175260"/>
                      <wp:effectExtent l="0" t="0" r="0" b="0"/>
                      <wp:wrapNone/>
                      <wp:docPr id="69" name="Frame6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8425" cy="29210"/>
                      <wp:effectExtent l="0" t="0" r="0" b="0"/>
                      <wp:wrapNone/>
                      <wp:docPr id="70" name="Frame68"/>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8740" cy="175260"/>
                      <wp:effectExtent l="0" t="0" r="0" b="0"/>
                      <wp:wrapNone/>
                      <wp:docPr id="71" name="Frame6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8425" cy="1817370"/>
                      <wp:effectExtent l="0" t="0" r="0" b="0"/>
                      <wp:wrapNone/>
                      <wp:docPr id="72" name="Frame70"/>
                      <a:graphic xmlns:a="http://schemas.openxmlformats.org/drawingml/2006/main">
                        <a:graphicData uri="http://schemas.microsoft.com/office/word/2010/wordprocessingShape">
                          <wps:wsp>
                            <wps:cNvSpPr txBox="1"/>
                            <wps:spPr>
                              <a:xfrm>
                                <a:off x="0" y="0"/>
                                <a:ext cx="98425" cy="1817370"/>
                              </a:xfrm>
                              <a:prstGeom prst="rect"/>
                              <a:solidFill>
                                <a:srgbClr val="FFFFFF"/>
                              </a:solidFill>
                            </wps:spPr>
                            <wps:txbx>
                              <w:txbxContent>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AVNER M. APPLBAUM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4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AVNER M. APPLBAUM</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8740" cy="175260"/>
                      <wp:effectExtent l="0" t="0" r="0" b="0"/>
                      <wp:wrapNone/>
                      <wp:docPr id="73" name="Frame7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8425" cy="1562100"/>
                      <wp:effectExtent l="0" t="0" r="0" b="0"/>
                      <wp:wrapNone/>
                      <wp:docPr id="74" name="Frame72"/>
                      <a:graphic xmlns:a="http://schemas.openxmlformats.org/drawingml/2006/main">
                        <a:graphicData uri="http://schemas.microsoft.com/office/word/2010/wordprocessingShape">
                          <wps:wsp>
                            <wps:cNvSpPr txBox="1"/>
                            <wps:spPr>
                              <a:xfrm>
                                <a:off x="0" y="0"/>
                                <a:ext cx="98425" cy="1562100"/>
                              </a:xfrm>
                              <a:prstGeom prst="rect"/>
                              <a:solidFill>
                                <a:srgbClr val="FFFFFF"/>
                              </a:solidFill>
                            </wps:spPr>
                            <wps:txbx>
                              <w:txbxContent>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Avner M. Applbaum</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President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Avner M. Applbaum</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President and Chief Executive Officer</w:t>
                            </w:r>
                          </w:p>
                        </w:txbxContent>
                      </v:textbox>
                      <w10:wrap type="none"/>
                    </v:rect>
                  </w:pict>
                </mc:Fallback>
              </mc:AlternateContent>
            </w:r>
          </w:p>
        </w:tc>
      </w:tr>
    </w:tbl>
    <w:p>
      <w:pPr>
        <w:pStyle w:val="TextBody"/>
        <w:bidi w:val="0"/>
        <w:spacing w:lineRule="atLeast" w:line="220" w:before="240" w:after="0"/>
        <w:ind w:left="0" w:right="0" w:hanging="0"/>
        <w:jc w:val="left"/>
        <w:rPr>
          <w:rFonts w:ascii="Times New Roman;Times;serif" w:hAnsi="Times New Roman;Times;serif"/>
          <w:sz w:val="18"/>
        </w:rPr>
      </w:pPr>
      <w:r>
        <w:rPr>
          <w:rFonts w:ascii="Times New Roman;Times;serif" w:hAnsi="Times New Roman;Times;serif"/>
          <w:sz w:val="18"/>
        </w:rPr>
        <w:t>Date: February 23, 2026</w:t>
      </w:r>
    </w:p>
    <w:p>
      <w:pPr>
        <w:pStyle w:val="HorizontalLine"/>
        <w:pBdr>
          <w:bottom w:val="double" w:sz="2" w:space="0" w:color="808080"/>
        </w:pBdr>
        <w:bidi w:val="0"/>
        <w:spacing w:before="0" w:after="283"/>
        <w:jc w:val="left"/>
        <w:rPr/>
      </w:pPr>
      <w:r>
        <w:rPr/>
      </w:r>
    </w:p>
    <w:p>
      <w:pPr>
        <w:pStyle w:val="TextBody"/>
        <w:bidi w:val="0"/>
        <w:spacing w:lineRule="auto" w:line="343" w:before="0" w:after="240"/>
        <w:ind w:left="0" w:right="0" w:hanging="0"/>
        <w:jc w:val="right"/>
        <w:rPr>
          <w:rFonts w:ascii="Times New Roman;Times;serif" w:hAnsi="Times New Roman;Times;serif"/>
          <w:b/>
          <w:sz w:val="18"/>
        </w:rPr>
      </w:pPr>
      <w:bookmarkStart w:id="2603" w:name="vmi-20251227xex31d2.htm"/>
      <w:bookmarkStart w:id="2604" w:name="ksvmi20251227xex31d2"/>
      <w:bookmarkEnd w:id="2603"/>
      <w:bookmarkEnd w:id="2604"/>
      <w:r>
        <w:rPr>
          <w:rFonts w:ascii="Times New Roman;Times;serif" w:hAnsi="Times New Roman;Times;serif"/>
          <w:b/>
          <w:sz w:val="18"/>
        </w:rPr>
        <w:t>Exhibit 31.2</w:t>
      </w:r>
      <w:bookmarkStart w:id="2605" w:name="Exhibit_312__Certification_of_the_Cheif_"/>
      <w:bookmarkEnd w:id="2605"/>
      <w:r>
        <w:br w:type="page"/>
      </w:r>
    </w:p>
    <w:p>
      <w:pPr>
        <w:pStyle w:val="TextBody"/>
        <w:bidi w:val="0"/>
        <w:spacing w:lineRule="auto" w:line="343"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THE CHIEF FINANCIAL OFFICER</w:t>
      </w:r>
    </w:p>
    <w:p>
      <w:pPr>
        <w:pStyle w:val="TextBody"/>
        <w:bidi w:val="0"/>
        <w:spacing w:lineRule="auto" w:line="343" w:before="0" w:after="240"/>
        <w:ind w:left="0" w:right="0" w:hanging="0"/>
        <w:jc w:val="left"/>
        <w:rPr>
          <w:rFonts w:ascii="Times New Roman;Times;serif" w:hAnsi="Times New Roman;Times;serif"/>
          <w:sz w:val="18"/>
        </w:rPr>
      </w:pPr>
      <w:r>
        <w:rPr>
          <w:rFonts w:ascii="Times New Roman;Times;serif" w:hAnsi="Times New Roman;Times;serif"/>
          <w:sz w:val="18"/>
        </w:rPr>
        <w:t>I, Thomas Liguori, certify that:</w:t>
      </w:r>
    </w:p>
    <w:tbl>
      <w:tblPr>
        <w:tblW w:w="8425" w:type="dxa"/>
        <w:jc w:val="left"/>
        <w:tblInd w:w="0" w:type="dxa"/>
        <w:tblLayout w:type="fixed"/>
        <w:tblCellMar>
          <w:top w:w="0" w:type="dxa"/>
          <w:left w:w="0" w:type="dxa"/>
          <w:bottom w:w="0" w:type="dxa"/>
          <w:right w:w="0" w:type="dxa"/>
        </w:tblCellMar>
      </w:tblPr>
      <w:tblGrid>
        <w:gridCol w:w="155"/>
        <w:gridCol w:w="8270"/>
      </w:tblGrid>
      <w:tr>
        <w:trPr/>
        <w:tc>
          <w:tcPr>
            <w:tcW w:w="15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1.</w:t>
            </w:r>
          </w:p>
        </w:tc>
        <w:tc>
          <w:tcPr>
            <w:tcW w:w="827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I have reviewed this annual report on Form 10-K for the year ended December 27, 2025 of Valmont Industries,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w:t>
            </w:r>
          </w:p>
        </w:tc>
        <w:tc>
          <w:tcPr>
            <w:tcW w:w="1006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w:t>
            </w:r>
          </w:p>
        </w:tc>
        <w:tc>
          <w:tcPr>
            <w:tcW w:w="1005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c)</w:t>
            </w:r>
          </w:p>
        </w:tc>
        <w:tc>
          <w:tcPr>
            <w:tcW w:w="10057"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w:t>
            </w:r>
          </w:p>
        </w:tc>
        <w:tc>
          <w:tcPr>
            <w:tcW w:w="10050"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w:t>
            </w:r>
          </w:p>
        </w:tc>
        <w:tc>
          <w:tcPr>
            <w:tcW w:w="10056"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b)</w:t>
            </w:r>
          </w:p>
        </w:tc>
        <w:tc>
          <w:tcPr>
            <w:tcW w:w="10023" w:type="dxa"/>
            <w:tcBorders/>
            <w:vAlign w:val="center"/>
          </w:tcPr>
          <w:p>
            <w:pPr>
              <w:pStyle w:val="TableContents"/>
              <w:bidi w:val="0"/>
              <w:spacing w:lineRule="auto" w:line="343" w:before="0" w:after="24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8740" cy="175260"/>
                      <wp:effectExtent l="0" t="0" r="0" b="0"/>
                      <wp:wrapNone/>
                      <wp:docPr id="75" name="Frame7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8425" cy="29210"/>
                      <wp:effectExtent l="0" t="0" r="0" b="0"/>
                      <wp:wrapNone/>
                      <wp:docPr id="76" name="Frame74"/>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8740" cy="175260"/>
                      <wp:effectExtent l="0" t="0" r="0" b="0"/>
                      <wp:wrapNone/>
                      <wp:docPr id="77" name="Frame7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8425" cy="1817370"/>
                      <wp:effectExtent l="0" t="0" r="0" b="0"/>
                      <wp:wrapNone/>
                      <wp:docPr id="78" name="Frame76"/>
                      <a:graphic xmlns:a="http://schemas.openxmlformats.org/drawingml/2006/main">
                        <a:graphicData uri="http://schemas.microsoft.com/office/word/2010/wordprocessingShape">
                          <wps:wsp>
                            <wps:cNvSpPr txBox="1"/>
                            <wps:spPr>
                              <a:xfrm>
                                <a:off x="0" y="0"/>
                                <a:ext cx="98425" cy="1817370"/>
                              </a:xfrm>
                              <a:prstGeom prst="rect"/>
                              <a:solidFill>
                                <a:srgbClr val="FFFFFF"/>
                              </a:solidFill>
                            </wps:spPr>
                            <wps:txbx>
                              <w:txbxContent>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THOMAS LIGUORI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4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THOMAS LIGUORI</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8740" cy="175260"/>
                      <wp:effectExtent l="0" t="0" r="0" b="0"/>
                      <wp:wrapNone/>
                      <wp:docPr id="79" name="Frame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8425" cy="1562100"/>
                      <wp:effectExtent l="0" t="0" r="0" b="0"/>
                      <wp:wrapNone/>
                      <wp:docPr id="80" name="Frame78"/>
                      <a:graphic xmlns:a="http://schemas.openxmlformats.org/drawingml/2006/main">
                        <a:graphicData uri="http://schemas.microsoft.com/office/word/2010/wordprocessingShape">
                          <wps:wsp>
                            <wps:cNvSpPr txBox="1"/>
                            <wps:spPr>
                              <a:xfrm>
                                <a:off x="0" y="0"/>
                                <a:ext cx="98425" cy="1562100"/>
                              </a:xfrm>
                              <a:prstGeom prst="rect"/>
                              <a:solidFill>
                                <a:srgbClr val="FFFFFF"/>
                              </a:solidFill>
                            </wps:spPr>
                            <wps:txbx>
                              <w:txbxContent>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Thomas Liguori</w:t>
                                  </w:r>
                                </w:p>
                                <w:p>
                                  <w:pPr>
                                    <w:pStyle w:val="TableContents"/>
                                    <w:bidi w:val="0"/>
                                    <w:spacing w:lineRule="auto" w:line="285" w:before="0" w:after="0"/>
                                    <w:ind w:left="0" w:right="0" w:hanging="0"/>
                                    <w:jc w:val="center"/>
                                    <w:rPr>
                                      <w:rFonts w:ascii="Times New Roman;Times;serif" w:hAnsi="Times New Roman;Times;serif"/>
                                      <w:i/>
                                      <w:sz w:val="18"/>
                                    </w:rPr>
                                  </w:pPr>
                                  <w:r>
                                    <w:rPr>
                                      <w:rFonts w:ascii="Times New Roman;Times;serif" w:hAnsi="Times New Roman;Times;serif"/>
                                      <w:i/>
                                      <w:sz w:val="18"/>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Thomas Liguori</w:t>
                            </w:r>
                          </w:p>
                          <w:p>
                            <w:pPr>
                              <w:pStyle w:val="TableContents"/>
                              <w:bidi w:val="0"/>
                              <w:spacing w:lineRule="auto" w:line="285" w:before="0" w:after="0"/>
                              <w:ind w:left="0" w:right="0" w:hanging="0"/>
                              <w:jc w:val="center"/>
                              <w:rPr>
                                <w:rFonts w:ascii="Times New Roman;Times;serif" w:hAnsi="Times New Roman;Times;serif"/>
                                <w:i/>
                                <w:sz w:val="18"/>
                              </w:rPr>
                            </w:pPr>
                            <w:r>
                              <w:rPr>
                                <w:rFonts w:ascii="Times New Roman;Times;serif" w:hAnsi="Times New Roman;Times;serif"/>
                                <w:i/>
                                <w:sz w:val="18"/>
                              </w:rPr>
                              <w:t>Executive Vice President and Chief Financial Officer</w:t>
                            </w:r>
                          </w:p>
                        </w:txbxContent>
                      </v:textbox>
                      <w10:wrap type="none"/>
                    </v:rect>
                  </w:pict>
                </mc:Fallback>
              </mc:AlternateContent>
            </w:r>
          </w:p>
        </w:tc>
      </w:tr>
    </w:tbl>
    <w:p>
      <w:pPr>
        <w:pStyle w:val="TextBody"/>
        <w:bidi w:val="0"/>
        <w:spacing w:lineRule="atLeast" w:line="220" w:before="240" w:after="0"/>
        <w:ind w:left="0" w:right="0" w:hanging="0"/>
        <w:jc w:val="left"/>
        <w:rPr>
          <w:rFonts w:ascii="Times New Roman;Times;serif" w:hAnsi="Times New Roman;Times;serif"/>
          <w:sz w:val="18"/>
        </w:rPr>
      </w:pPr>
      <w:r>
        <w:rPr>
          <w:rFonts w:ascii="Times New Roman;Times;serif" w:hAnsi="Times New Roman;Times;serif"/>
          <w:sz w:val="18"/>
        </w:rPr>
        <w:t>Date: February 23, 2026</w:t>
      </w:r>
    </w:p>
    <w:p>
      <w:pPr>
        <w:pStyle w:val="HorizontalLine"/>
        <w:pBdr>
          <w:bottom w:val="double" w:sz="2" w:space="0" w:color="808080"/>
        </w:pBdr>
        <w:bidi w:val="0"/>
        <w:spacing w:before="0" w:after="283"/>
        <w:jc w:val="left"/>
        <w:rPr/>
      </w:pPr>
      <w:r>
        <w:rPr/>
      </w:r>
    </w:p>
    <w:p>
      <w:pPr>
        <w:pStyle w:val="TextBody"/>
        <w:bidi w:val="0"/>
        <w:spacing w:lineRule="auto" w:line="343" w:before="0" w:after="240"/>
        <w:ind w:left="0" w:right="0" w:hanging="0"/>
        <w:jc w:val="right"/>
        <w:rPr>
          <w:rFonts w:ascii="Times New Roman;Times;serif" w:hAnsi="Times New Roman;Times;serif"/>
          <w:b/>
          <w:sz w:val="20"/>
        </w:rPr>
      </w:pPr>
      <w:bookmarkStart w:id="2606" w:name="vmi-20251227xex32d1.htm"/>
      <w:bookmarkStart w:id="2607" w:name="ksvmi20251227xex32d1"/>
      <w:bookmarkEnd w:id="2606"/>
      <w:bookmarkEnd w:id="2607"/>
      <w:r>
        <w:rPr>
          <w:rFonts w:ascii="Times New Roman;Times;serif" w:hAnsi="Times New Roman;Times;serif"/>
          <w:b/>
          <w:sz w:val="20"/>
        </w:rPr>
        <w:t>Exhibit 32.1</w:t>
      </w:r>
      <w:bookmarkStart w:id="2608" w:name="Exhibit_321__Section_1350"/>
      <w:bookmarkEnd w:id="2608"/>
      <w:r>
        <w:br w:type="page"/>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343" w:before="0" w:after="240"/>
        <w:ind w:left="0" w:right="0" w:hanging="0"/>
        <w:jc w:val="left"/>
        <w:rPr>
          <w:rFonts w:ascii="Times New Roman;Times;serif" w:hAnsi="Times New Roman;Times;serif"/>
          <w:b/>
          <w:sz w:val="20"/>
        </w:rPr>
      </w:pPr>
      <w:r>
        <w:rPr>
          <w:rFonts w:ascii="Times New Roman;Times;serif" w:hAnsi="Times New Roman;Times;serif"/>
          <w:b/>
          <w:sz w:val="20"/>
        </w:rPr>
        <w:t>Pursuant to 18 U.S.C. Section 1350, as adopted pursuant to Section 906 of the Sarbanes-Oxley Act of 2002:</w:t>
      </w:r>
    </w:p>
    <w:p>
      <w:pPr>
        <w:pStyle w:val="TextBody"/>
        <w:bidi w:val="0"/>
        <w:spacing w:lineRule="auto" w:line="343" w:before="0" w:after="240"/>
        <w:ind w:left="0" w:right="0" w:firstLine="720"/>
        <w:jc w:val="left"/>
        <w:rPr>
          <w:rFonts w:ascii="Times New Roman;Times;serif" w:hAnsi="Times New Roman;Times;serif"/>
          <w:sz w:val="20"/>
        </w:rPr>
      </w:pPr>
      <w:r>
        <w:rPr>
          <w:rFonts w:ascii="Times New Roman;Times;serif" w:hAnsi="Times New Roman;Times;serif"/>
          <w:sz w:val="20"/>
        </w:rPr>
        <w:t>The undersigned, Avner M. Applbaum, Chairman and Chief Executive Officer of Valmont Industries, Inc. (the “Company”), has executed this certification in connection with the filing of the Company’s Annual Report on Form 10-K for the year ended December 27, 2025 (the “Report”) with the Securities and Exchange Commission.</w:t>
      </w:r>
    </w:p>
    <w:p>
      <w:pPr>
        <w:pStyle w:val="TextBody"/>
        <w:bidi w:val="0"/>
        <w:spacing w:lineRule="auto" w:line="343"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certifies, pursuant to 18 U.S.C. Section 1350, as adopted pursuant to Section 906 of the Sarbanes-Oxley Act of 2002, to the best of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343" w:before="0" w:after="48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the 23rd day of February, 2026.</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8740" cy="175260"/>
                      <wp:effectExtent l="0" t="0" r="0" b="0"/>
                      <wp:wrapNone/>
                      <wp:docPr id="81" name="Frame7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8425" cy="2930525"/>
                      <wp:effectExtent l="0" t="0" r="0" b="0"/>
                      <wp:wrapNone/>
                      <wp:docPr id="82" name="Frame80"/>
                      <a:graphic xmlns:a="http://schemas.openxmlformats.org/drawingml/2006/main">
                        <a:graphicData uri="http://schemas.microsoft.com/office/word/2010/wordprocessingShape">
                          <wps:wsp>
                            <wps:cNvSpPr txBox="1"/>
                            <wps:spPr>
                              <a:xfrm>
                                <a:off x="0" y="0"/>
                                <a:ext cx="98425" cy="293052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AVNER M. APPLBAUM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0.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AVNER M. APPLBAUM</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8740" cy="175260"/>
                      <wp:effectExtent l="0" t="0" r="0" b="0"/>
                      <wp:wrapNone/>
                      <wp:docPr id="83" name="Frame8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8425" cy="6193790"/>
                      <wp:effectExtent l="0" t="0" r="0" b="0"/>
                      <wp:wrapNone/>
                      <wp:docPr id="84" name="Frame82"/>
                      <a:graphic xmlns:a="http://schemas.openxmlformats.org/drawingml/2006/main">
                        <a:graphicData uri="http://schemas.microsoft.com/office/word/2010/wordprocessingShape">
                          <wps:wsp>
                            <wps:cNvSpPr txBox="1"/>
                            <wps:spPr>
                              <a:xfrm>
                                <a:off x="0" y="0"/>
                                <a:ext cx="98425" cy="6193790"/>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Avner M. Applbaum</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8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Avner M. Applbaum</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xbxContent>
                      </v:textbox>
                      <w10:wrap type="none"/>
                    </v:rect>
                  </w:pict>
                </mc:Fallback>
              </mc:AlternateContent>
            </w:r>
          </w:p>
        </w:tc>
      </w:tr>
    </w:tbl>
    <w:p>
      <w:pPr>
        <w:pStyle w:val="TextBody"/>
        <w:bidi w:val="0"/>
        <w:spacing w:lineRule="atLeast" w:line="220" w:before="48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343" w:before="0" w:after="240"/>
        <w:ind w:left="0" w:right="0" w:hanging="0"/>
        <w:jc w:val="left"/>
        <w:rPr>
          <w:rFonts w:ascii="Times New Roman;Times;serif" w:hAnsi="Times New Roman;Times;serif"/>
          <w:b/>
          <w:sz w:val="20"/>
        </w:rPr>
      </w:pPr>
      <w:r>
        <w:rPr>
          <w:rFonts w:ascii="Times New Roman;Times;serif" w:hAnsi="Times New Roman;Times;serif"/>
          <w:b/>
          <w:sz w:val="20"/>
        </w:rPr>
        <w:t>Pursuant to 18 U.S.C. Section 1350, as adopted pursuant to Section 906 of the Sarbanes-Oxley Act of 2002:</w:t>
      </w:r>
    </w:p>
    <w:p>
      <w:pPr>
        <w:pStyle w:val="TextBody"/>
        <w:bidi w:val="0"/>
        <w:spacing w:lineRule="auto" w:line="343" w:before="0" w:after="240"/>
        <w:ind w:left="0" w:right="0" w:firstLine="720"/>
        <w:jc w:val="left"/>
        <w:rPr>
          <w:rFonts w:ascii="Times New Roman;Times;serif" w:hAnsi="Times New Roman;Times;serif"/>
          <w:sz w:val="20"/>
        </w:rPr>
      </w:pPr>
      <w:r>
        <w:rPr>
          <w:rFonts w:ascii="Times New Roman;Times;serif" w:hAnsi="Times New Roman;Times;serif"/>
          <w:sz w:val="20"/>
        </w:rPr>
        <w:t>The undersigned, Thomas Liguori, Executive Vice President and Chief Financial Officer of Valmont Industries, Inc. (the “Company”), has executed this certification in connection with the filing of the Company’s Annual Report on Form 10-K for the year ended December 27, 2025 (the “Report”) with the Securities and Exchange Commission.</w:t>
      </w:r>
    </w:p>
    <w:p>
      <w:pPr>
        <w:pStyle w:val="TextBody"/>
        <w:bidi w:val="0"/>
        <w:spacing w:lineRule="auto" w:line="343"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certifies, pursuant to 18 U.S.C. Section 1350, as adopted pursuant to Section 906 of the Sarbanes-Oxley Act of 2002, to the best of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343"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343" w:before="0" w:after="48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the 23rd day of February, 2026.</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8740" cy="175260"/>
                      <wp:effectExtent l="0" t="0" r="0" b="0"/>
                      <wp:wrapNone/>
                      <wp:docPr id="85" name="Frame8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8425" cy="29210"/>
                      <wp:effectExtent l="0" t="0" r="0" b="0"/>
                      <wp:wrapNone/>
                      <wp:docPr id="86" name="Frame84"/>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8740" cy="175260"/>
                      <wp:effectExtent l="0" t="0" r="0" b="0"/>
                      <wp:wrapNone/>
                      <wp:docPr id="87" name="Frame8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8425" cy="2011045"/>
                      <wp:effectExtent l="0" t="0" r="0" b="0"/>
                      <wp:wrapNone/>
                      <wp:docPr id="88" name="Frame86"/>
                      <a:graphic xmlns:a="http://schemas.openxmlformats.org/drawingml/2006/main">
                        <a:graphicData uri="http://schemas.microsoft.com/office/word/2010/wordprocessingShape">
                          <wps:wsp>
                            <wps:cNvSpPr txBox="1"/>
                            <wps:spPr>
                              <a:xfrm>
                                <a:off x="0" y="0"/>
                                <a:ext cx="98425" cy="201104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THOMAS LIGUORI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58.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THOMAS LIGUORI</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8740" cy="175260"/>
                      <wp:effectExtent l="0" t="0" r="0" b="0"/>
                      <wp:wrapNone/>
                      <wp:docPr id="89" name="Frame8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8425" cy="1755775"/>
                      <wp:effectExtent l="0" t="0" r="0" b="0"/>
                      <wp:wrapNone/>
                      <wp:docPr id="90" name="Frame88"/>
                      <a:graphic xmlns:a="http://schemas.openxmlformats.org/drawingml/2006/main">
                        <a:graphicData uri="http://schemas.microsoft.com/office/word/2010/wordprocessingShape">
                          <wps:wsp>
                            <wps:cNvSpPr txBox="1"/>
                            <wps:spPr>
                              <a:xfrm>
                                <a:off x="0" y="0"/>
                                <a:ext cx="98425" cy="175577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Liguori</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Liguori</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xbxContent>
                      </v:textbox>
                      <w10:wrap type="none"/>
                    </v:rect>
                  </w:pict>
                </mc:Fallback>
              </mc:AlternateConten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2729/000104746909004860/a2192518zex-3_1.htm" TargetMode="External"/><Relationship Id="rId5" Type="http://schemas.openxmlformats.org/officeDocument/2006/relationships/hyperlink" Target="https://www.sec.gov/Archives/edgar/data/102729/000010272922000077/vmi-20221213xex3d2.htm" TargetMode="External"/><Relationship Id="rId6" Type="http://schemas.openxmlformats.org/officeDocument/2006/relationships/hyperlink" Target="https://www.sec.gov/Archives/edgar/data/102729/000110465925066993/tm2520250d1_ex10-1.htm" TargetMode="External"/><Relationship Id="rId7" Type="http://schemas.openxmlformats.org/officeDocument/2006/relationships/hyperlink" Target="https://www.sec.gov/Archives/edgar/data/102729/000110465910019251/a10-7982_1ex4d1.htm" TargetMode="External"/><Relationship Id="rId8" Type="http://schemas.openxmlformats.org/officeDocument/2006/relationships/hyperlink" Target="https://www.sec.gov/Archives/edgar/data/102729/000110465910019251/a10-7982_1ex4d2.htm" TargetMode="External"/><Relationship Id="rId9" Type="http://schemas.openxmlformats.org/officeDocument/2006/relationships/hyperlink" Target="https://www.sec.gov/Archives/edgar/data/102729/000110465914067409/a14-21162_1ex4d2.htm" TargetMode="External"/><Relationship Id="rId10" Type="http://schemas.openxmlformats.org/officeDocument/2006/relationships/hyperlink" Target="https://www.sec.gov/Archives/edgar/data/102729/000110465914067409/a14-21162_1ex4d3.htm" TargetMode="External"/><Relationship Id="rId11" Type="http://schemas.openxmlformats.org/officeDocument/2006/relationships/hyperlink" Target="https://www.sec.gov/Archives/edgar/data/102729/000010272920000004/vmi-ex49_20191228x10k.htm" TargetMode="External"/><Relationship Id="rId12" Type="http://schemas.openxmlformats.org/officeDocument/2006/relationships/hyperlink" Target="https://www.sec.gov/Archives/edgar/data/102729/000090044013000040/vmi8k_may1ex101.htm" TargetMode="External"/><Relationship Id="rId13" Type="http://schemas.openxmlformats.org/officeDocument/2006/relationships/hyperlink" Target="https://www.sec.gov/Archives/edgar/data/102729/000010272916000009/exhibit107.htm" TargetMode="External"/><Relationship Id="rId14" Type="http://schemas.openxmlformats.org/officeDocument/2006/relationships/hyperlink" Target="https://www.sec.gov/Archives/edgar/data/102729/000110465918016718/a18-7997_1ex10d1.htm" TargetMode="External"/><Relationship Id="rId15" Type="http://schemas.openxmlformats.org/officeDocument/2006/relationships/hyperlink" Target="https://www.sec.gov/Archives/edgar/data/102729/000010272922000014/a2022march14exhibit101.htm" TargetMode="External"/><Relationship Id="rId16" Type="http://schemas.openxmlformats.org/officeDocument/2006/relationships/hyperlink" Target="https://www.sec.gov/Archives/edgar/data/102729/000010272922000008/exhibit_104x2021xformofopt.htm" TargetMode="External"/><Relationship Id="rId17" Type="http://schemas.openxmlformats.org/officeDocument/2006/relationships/hyperlink" Target="https://www.sec.gov/Archives/edgar/data/102729/000010272922000008/exhibit_105x2021xformofdom.htm" TargetMode="External"/><Relationship Id="rId18" Type="http://schemas.openxmlformats.org/officeDocument/2006/relationships/hyperlink" Target="https://www.sec.gov/Archives/edgar/data/102729/000010272922000008/exhibit_106x2021xformofdir.htm" TargetMode="External"/><Relationship Id="rId19" Type="http://schemas.openxmlformats.org/officeDocument/2006/relationships/hyperlink" Target="https://www.sec.gov/Archives/edgar/data/102729/000010272922000008/exhibit_107x2021xformofint.htm" TargetMode="External"/><Relationship Id="rId20" Type="http://schemas.openxmlformats.org/officeDocument/2006/relationships/hyperlink" Target="https://www.sec.gov/Archives/edgar/data/102729/000090044013000040/vmi8k_may1ex102.htm" TargetMode="External"/><Relationship Id="rId21" Type="http://schemas.openxmlformats.org/officeDocument/2006/relationships/hyperlink" Target="https://www.sec.gov/Archives/edgar/data/102729/000104746914001292/a2218400zex-10_15.htm" TargetMode="External"/><Relationship Id="rId22" Type="http://schemas.openxmlformats.org/officeDocument/2006/relationships/hyperlink" Target="https://www.sec.gov/Archives/edgar/data/102729/000104746914001292/a2218400zex-10_16.htm" TargetMode="External"/><Relationship Id="rId23" Type="http://schemas.openxmlformats.org/officeDocument/2006/relationships/hyperlink" Target="https://www.sec.gov/Archives/edgar/data/102729/000110465925049858/tm2515330d1_ex10-1.htm" TargetMode="External"/><Relationship Id="rId24" Type="http://schemas.openxmlformats.org/officeDocument/2006/relationships/hyperlink" Target="https://www.sec.gov/Archives/edgar/data/102729/000110465925049858/tm2515330d1_ex10-2.htm" TargetMode="External"/><Relationship Id="rId25" Type="http://schemas.openxmlformats.org/officeDocument/2006/relationships/hyperlink" Target="https://www.sec.gov/Archives/edgar/data/102729/000010272925000009/vmi-20241228xex19d1.htm" TargetMode="External"/><Relationship Id="rId26" Type="http://schemas.openxmlformats.org/officeDocument/2006/relationships/hyperlink" Target="https://www.sec.gov/Archives/edgar/data/102729/000010272921000055/vmi-ex221_20210925x10q.htm" TargetMode="External"/><Relationship Id="rId27" Type="http://schemas.openxmlformats.org/officeDocument/2006/relationships/hyperlink" Target="https://www.sec.gov/Archives/edgar/data/102729/000010272924000013/vmi-20231230xex97d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44295</Words>
  <Characters>259991</Characters>
  <CharactersWithSpaces>306528</CharactersWithSpaces>
  <Paragraphs>11181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