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62865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rPr>
      </w:pPr>
    </w:p>
    <w:p>
      <w:pPr>
        <w:ind w:left="31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For the quarterly period ended September 26, 2026</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rFonts w:ascii="MS PGothic" w:cs="MS PGothic" w:eastAsia="MS PGothic" w:hAnsi="MS PGothic"/>
          <w:sz w:val="20"/>
          <w:szCs w:val="20"/>
          <w:color w:val="auto"/>
        </w:rPr>
      </w:pPr>
    </w:p>
    <w:p>
      <w:pPr>
        <w:ind w:left="32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35" w:lineRule="exact"/>
        <w:rPr>
          <w:rFonts w:ascii="MS PGothic" w:cs="MS PGothic" w:eastAsia="MS PGothic" w:hAnsi="MS PGothic"/>
          <w:sz w:val="20"/>
          <w:szCs w:val="20"/>
          <w:color w:val="auto"/>
        </w:rPr>
      </w:pPr>
    </w:p>
    <w:p>
      <w:pPr>
        <w:ind w:left="3600"/>
        <w:spacing w:after="0"/>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Commission File Number: 001-31429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94615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Valmont Industries,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6"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4540" w:type="dxa"/>
            <w:vAlign w:val="bottom"/>
          </w:tcPr>
          <w:p>
            <w:pPr>
              <w:jc w:val="center"/>
              <w:ind w:right="10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47-0351813</w:t>
            </w:r>
          </w:p>
        </w:tc>
      </w:tr>
      <w:tr>
        <w:trPr>
          <w:trHeight w:val="188"/>
        </w:trPr>
        <w:tc>
          <w:tcPr>
            <w:tcW w:w="4540" w:type="dxa"/>
            <w:vAlign w:val="bottom"/>
          </w:tcPr>
          <w:p>
            <w:pPr>
              <w:jc w:val="center"/>
              <w:ind w:right="101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180" w:type="dxa"/>
            <w:vAlign w:val="bottom"/>
          </w:tcPr>
          <w:p>
            <w:pPr>
              <w:jc w:val="center"/>
              <w:ind w:left="1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5"/>
        </w:trPr>
        <w:tc>
          <w:tcPr>
            <w:tcW w:w="4540" w:type="dxa"/>
            <w:vAlign w:val="bottom"/>
          </w:tcPr>
          <w:p>
            <w:pPr>
              <w:jc w:val="center"/>
              <w:ind w:right="997"/>
              <w:spacing w:after="0"/>
              <w:rPr>
                <w:sz w:val="20"/>
                <w:szCs w:val="20"/>
                <w:color w:val="auto"/>
              </w:rPr>
            </w:pPr>
            <w:r>
              <w:rPr>
                <w:rFonts w:ascii="Times New Roman" w:cs="Times New Roman" w:eastAsia="Times New Roman" w:hAnsi="Times New Roman"/>
                <w:sz w:val="18"/>
                <w:szCs w:val="18"/>
                <w:b w:val="1"/>
                <w:bCs w:val="1"/>
                <w:color w:val="auto"/>
                <w:w w:val="99"/>
              </w:rPr>
              <w:t>15000 Valmont Plaza,</w:t>
            </w:r>
          </w:p>
        </w:tc>
        <w:tc>
          <w:tcPr>
            <w:tcW w:w="3180" w:type="dxa"/>
            <w:vAlign w:val="bottom"/>
          </w:tcPr>
          <w:p>
            <w:pPr>
              <w:spacing w:after="0"/>
              <w:rPr>
                <w:sz w:val="24"/>
                <w:szCs w:val="24"/>
                <w:color w:val="auto"/>
              </w:rPr>
            </w:pPr>
          </w:p>
        </w:tc>
      </w:tr>
      <w:tr>
        <w:trPr>
          <w:trHeight w:val="216"/>
        </w:trPr>
        <w:tc>
          <w:tcPr>
            <w:tcW w:w="4540" w:type="dxa"/>
            <w:vAlign w:val="bottom"/>
          </w:tcPr>
          <w:p>
            <w:pPr>
              <w:jc w:val="center"/>
              <w:ind w:right="1017"/>
              <w:spacing w:after="0"/>
              <w:rPr>
                <w:sz w:val="20"/>
                <w:szCs w:val="20"/>
                <w:color w:val="auto"/>
              </w:rPr>
            </w:pPr>
            <w:r>
              <w:rPr>
                <w:rFonts w:ascii="Times New Roman" w:cs="Times New Roman" w:eastAsia="Times New Roman" w:hAnsi="Times New Roman"/>
                <w:sz w:val="18"/>
                <w:szCs w:val="18"/>
                <w:b w:val="1"/>
                <w:bCs w:val="1"/>
                <w:color w:val="auto"/>
                <w:w w:val="99"/>
              </w:rPr>
              <w:t>Omaha, Nebraska</w:t>
            </w:r>
          </w:p>
        </w:tc>
        <w:tc>
          <w:tcPr>
            <w:tcW w:w="31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68154</w:t>
            </w:r>
          </w:p>
        </w:tc>
      </w:tr>
      <w:tr>
        <w:trPr>
          <w:trHeight w:val="188"/>
        </w:trPr>
        <w:tc>
          <w:tcPr>
            <w:tcW w:w="4540" w:type="dxa"/>
            <w:vAlign w:val="bottom"/>
          </w:tcPr>
          <w:p>
            <w:pPr>
              <w:jc w:val="center"/>
              <w:ind w:right="10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80" w:type="dxa"/>
            <w:vAlign w:val="bottom"/>
          </w:tcPr>
          <w:p>
            <w:pPr>
              <w:jc w:val="center"/>
              <w:ind w:left="10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(402) 963-1000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4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5"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Trading Symbol(s)</w:t>
            </w: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210"/>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00" w:type="dxa"/>
            <w:vAlign w:val="bottom"/>
          </w:tcPr>
          <w:p>
            <w:pPr>
              <w:spacing w:after="0"/>
              <w:rPr>
                <w:sz w:val="18"/>
                <w:szCs w:val="18"/>
                <w:color w:val="auto"/>
              </w:rPr>
            </w:pPr>
          </w:p>
        </w:tc>
        <w:tc>
          <w:tcPr>
            <w:tcW w:w="17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VMI</w:t>
            </w:r>
          </w:p>
        </w:tc>
        <w:tc>
          <w:tcPr>
            <w:tcW w:w="100" w:type="dxa"/>
            <w:vAlign w:val="bottom"/>
          </w:tcPr>
          <w:p>
            <w:pPr>
              <w:spacing w:after="0"/>
              <w:rPr>
                <w:sz w:val="18"/>
                <w:szCs w:val="18"/>
                <w:color w:val="auto"/>
              </w:rPr>
            </w:pPr>
          </w:p>
        </w:tc>
        <w:tc>
          <w:tcPr>
            <w:tcW w:w="34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26" w:lineRule="exact"/>
        <w:rPr>
          <w:sz w:val="24"/>
          <w:szCs w:val="24"/>
          <w:color w:val="auto"/>
        </w:rPr>
      </w:pPr>
    </w:p>
    <w:p>
      <w:pPr>
        <w:ind w:right="220"/>
        <w:spacing w:after="0" w:line="216" w:lineRule="exact"/>
        <w:rPr>
          <w:sz w:val="20"/>
          <w:szCs w:val="20"/>
          <w:color w:val="auto"/>
        </w:rPr>
      </w:pPr>
      <w:r>
        <w:rPr>
          <w:rFonts w:ascii="Times New Roman" w:cs="Times New Roman" w:eastAsia="Times New Roman" w:hAnsi="Times New Roman"/>
          <w:sz w:val="16"/>
          <w:szCs w:val="16"/>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p>
      <w:pPr>
        <w:spacing w:after="0" w:line="26" w:lineRule="exact"/>
        <w:rPr>
          <w:sz w:val="24"/>
          <w:szCs w:val="24"/>
          <w:color w:val="auto"/>
        </w:rPr>
      </w:pPr>
    </w:p>
    <w:p>
      <w:pPr>
        <w:ind w:right="180"/>
        <w:spacing w:after="0" w:line="216" w:lineRule="exact"/>
        <w:rPr>
          <w:sz w:val="20"/>
          <w:szCs w:val="20"/>
          <w:color w:val="auto"/>
        </w:rPr>
      </w:pPr>
      <w:r>
        <w:rPr>
          <w:rFonts w:ascii="Times New Roman" w:cs="Times New Roman" w:eastAsia="Times New Roman" w:hAnsi="Times New Roman"/>
          <w:sz w:val="16"/>
          <w:szCs w:val="16"/>
          <w:color w:val="auto"/>
        </w:rPr>
        <w:t xml:space="preserve">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4" w:lineRule="exact"/>
        <w:rPr>
          <w:sz w:val="24"/>
          <w:szCs w:val="24"/>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600" w:type="dxa"/>
        <w:tblCellMar>
          <w:top w:w="0" w:type="dxa"/>
          <w:left w:w="0" w:type="dxa"/>
          <w:bottom w:w="0" w:type="dxa"/>
          <w:right w:w="0" w:type="dxa"/>
        </w:tblCellMar>
      </w:tblP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8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260" w:type="dxa"/>
            <w:vAlign w:val="bottom"/>
          </w:tcPr>
          <w:p>
            <w:pPr>
              <w:ind w:left="42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40" w:right="1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October 23, 2026, there were 19,139,921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972820</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140970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184150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0" w:type="dxa"/>
            <w:vAlign w:val="bottom"/>
            <w:gridSpan w:val="14"/>
            <w:vMerge w:val="restart"/>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94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gridSpan w:val="14"/>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Financial Statements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Earnings for the thirteen and thirty-nine weeks ended</w:t>
            </w:r>
          </w:p>
        </w:tc>
        <w:tc>
          <w:tcPr>
            <w:tcW w:w="660" w:type="dxa"/>
            <w:vAlign w:val="bottom"/>
            <w:gridSpan w:val="5"/>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September 26, 2026 and September 27, 2025</w:t>
            </w:r>
          </w:p>
        </w:tc>
        <w:tc>
          <w:tcPr>
            <w:tcW w:w="4120" w:type="dxa"/>
            <w:vAlign w:val="bottom"/>
            <w:gridSpan w:val="11"/>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thirteen and thirty-nine weeks</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ended September 26, 2026 and September 27,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26, 2026 and December 27, 2025</w:t>
            </w:r>
          </w:p>
        </w:tc>
        <w:tc>
          <w:tcPr>
            <w:tcW w:w="780" w:type="dxa"/>
            <w:vAlign w:val="bottom"/>
            <w:gridSpan w:val="6"/>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thirty-nine weeks ended September 26,</w:t>
            </w:r>
          </w:p>
        </w:tc>
        <w:tc>
          <w:tcPr>
            <w:tcW w:w="2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2026 and September 27, 2025</w:t>
            </w:r>
          </w:p>
        </w:tc>
        <w:tc>
          <w:tcPr>
            <w:tcW w:w="5200" w:type="dxa"/>
            <w:vAlign w:val="bottom"/>
            <w:gridSpan w:val="1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7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and Redeemable Noncontrolling</w:t>
            </w:r>
          </w:p>
        </w:tc>
        <w:tc>
          <w:tcPr>
            <w:tcW w:w="580" w:type="dxa"/>
            <w:vAlign w:val="bottom"/>
            <w:gridSpan w:val="4"/>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Interests for the thirteen and thirty-nine weeks ended September 26, 2026 and September 27,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080" w:type="dxa"/>
            <w:vAlign w:val="bottom"/>
            <w:tcBorders>
              <w:top w:val="single" w:sz="8" w:color="0000EE"/>
            </w:tcBorders>
            <w:gridSpan w:val="6"/>
          </w:tcPr>
          <w:p>
            <w:pPr>
              <w:spacing w:after="0"/>
              <w:rPr>
                <w:sz w:val="19"/>
                <w:szCs w:val="19"/>
                <w:color w:val="auto"/>
              </w:rPr>
            </w:pPr>
          </w:p>
        </w:tc>
        <w:tc>
          <w:tcPr>
            <w:tcW w:w="280" w:type="dxa"/>
            <w:vAlign w:val="bottom"/>
            <w:gridSpan w:val="3"/>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20" w:type="dxa"/>
            <w:vAlign w:val="bottom"/>
            <w:tcBorders>
              <w:left w:val="single" w:sz="8" w:color="0000EE"/>
            </w:tcBorders>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gridSpan w:val="1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PART II</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320" w:type="dxa"/>
            <w:vAlign w:val="bottom"/>
            <w:gridSpan w:val="2"/>
          </w:tcPr>
          <w:p>
            <w:pPr>
              <w:spacing w:after="0"/>
              <w:rPr>
                <w:sz w:val="19"/>
                <w:szCs w:val="19"/>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320" w:type="dxa"/>
            <w:vAlign w:val="bottom"/>
            <w:gridSpan w:val="2"/>
          </w:tcPr>
          <w:p>
            <w:pPr>
              <w:spacing w:after="0"/>
              <w:rPr>
                <w:sz w:val="19"/>
                <w:szCs w:val="19"/>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4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12"/>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9"/>
          </w:tcPr>
          <w:p>
            <w:pPr>
              <w:jc w:val="center"/>
              <w:ind w:left="353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364" w:right="1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5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26,</w:t>
            </w:r>
          </w:p>
        </w:tc>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3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 sales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984,918</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928,106</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2,914,143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2,745,966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Service sales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118,883</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117,874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337,544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cost of sales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655,859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2,094,644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cost of sales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71,875</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167,964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cost of sales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772,417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727,734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2,262,608</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318,246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Realignment charges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494,571</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deferred compensation investments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expenses</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 and equity method investment loss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163,285</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131,537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470,899</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120,925</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before equity method investment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Equity method investment loss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101,092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Earnings attributable to redeemable noncontrolling interests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 attributable to Valmont Industries, Inc.</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121,053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99,031</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349,004</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earnings attributable to Valmont Industries, Inc. per share:</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80"/>
        </w:trPr>
        <w:tc>
          <w:tcPr>
            <w:tcW w:w="4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3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80"/>
          </w:cols>
          <w:pgMar w:left="1320" w:top="364"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6"/>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September 26,</w:t>
            </w:r>
          </w:p>
        </w:tc>
        <w:tc>
          <w:tcPr>
            <w:tcW w:w="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101,092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349,710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84"/>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translation gain (loss)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Hedging activities: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gain on commodity hedges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Realized gain on commodity hedges included in net earnings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gain (loss) on cross-currency swaps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cost included in interest expense</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hedging activities</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5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Reclassification adjustment for pension costs included in net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126,902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100,298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Comprehensive income attributable to redeemable noncontrolling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Comprehensive income attributable to Valmont Industries, Inc.</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126,502</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357,978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80"/>
          </w:cols>
          <w:pgMar w:left="1320" w:top="364"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September 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assets: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3"/>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less allowance of $45,037 and $54,991, respectively</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303,996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101,161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1,835,336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1,692,893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(976,604)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716,289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Defined benefit pension asset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deferred tax asset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242424"/>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3,540,874</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3,369,329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AND SHAREHOLDERS’ EQUITY</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liabilities: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3"/>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installments of long-term debt</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Mandatorily redeemable financial instrument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760,973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 excluding current installments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compensation liabilities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56,956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Shareholders’ equity:</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of $1 par value, authorized 75,000,000 shares; issued 27,900,000 shares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3,460,690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8,764,783 and 8,374,758 shares, respectively</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(1,449,644)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1,759,621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shareholders’ equity</w:t>
            </w:r>
          </w:p>
        </w:tc>
        <w:tc>
          <w:tcPr>
            <w:tcW w:w="5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3,540,874</w:t>
            </w:r>
          </w:p>
        </w:tc>
        <w:tc>
          <w:tcPr>
            <w:tcW w:w="24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280"/>
          </w:cols>
          <w:pgMar w:left="1320" w:top="36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5880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80"/>
          </w:cols>
          <w:pgMar w:left="1320" w:top="364" w:right="1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ind w:left="66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Pr>
          <w:p>
            <w:pPr>
              <w:spacing w:after="0"/>
              <w:rPr>
                <w:sz w:val="16"/>
                <w:szCs w:val="16"/>
                <w:color w:val="auto"/>
              </w:rPr>
            </w:pPr>
          </w:p>
        </w:tc>
      </w:tr>
      <w:tr>
        <w:trPr>
          <w:trHeight w:val="212"/>
        </w:trPr>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202"/>
        </w:trPr>
        <w:tc>
          <w:tcPr>
            <w:tcW w:w="68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349,710</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from operating activities: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65,429</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 to defined benefit pension plan</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20" w:type="dxa"/>
            <w:vAlign w:val="bottom"/>
          </w:tcPr>
          <w:p>
            <w:pPr>
              <w:spacing w:after="0"/>
              <w:rPr>
                <w:sz w:val="17"/>
                <w:szCs w:val="17"/>
                <w:color w:val="auto"/>
              </w:rPr>
            </w:pPr>
          </w:p>
        </w:tc>
      </w:tr>
      <w:tr>
        <w:trPr>
          <w:trHeight w:val="203"/>
        </w:trPr>
        <w:tc>
          <w:tcPr>
            <w:tcW w:w="6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91,337</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w:t>
            </w:r>
          </w:p>
        </w:tc>
        <w:tc>
          <w:tcPr>
            <w:tcW w:w="20" w:type="dxa"/>
            <w:vAlign w:val="bottom"/>
          </w:tcPr>
          <w:p>
            <w:pPr>
              <w:spacing w:after="0"/>
              <w:rPr>
                <w:sz w:val="17"/>
                <w:szCs w:val="17"/>
                <w:color w:val="auto"/>
              </w:rPr>
            </w:pPr>
          </w:p>
        </w:tc>
      </w:tr>
      <w:tr>
        <w:trPr>
          <w:trHeight w:val="203"/>
        </w:trPr>
        <w:tc>
          <w:tcPr>
            <w:tcW w:w="6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sale of property, plant, and equipment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7"/>
                <w:szCs w:val="17"/>
                <w:color w:val="auto"/>
              </w:rPr>
            </w:pPr>
          </w:p>
        </w:tc>
      </w:tr>
      <w:tr>
        <w:trPr>
          <w:trHeight w:val="203"/>
        </w:trPr>
        <w:tc>
          <w:tcPr>
            <w:tcW w:w="6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0" w:type="dxa"/>
            <w:vAlign w:val="bottom"/>
          </w:tcPr>
          <w:p>
            <w:pPr>
              <w:spacing w:after="0"/>
              <w:rPr>
                <w:sz w:val="17"/>
                <w:szCs w:val="17"/>
                <w:color w:val="auto"/>
              </w:rPr>
            </w:pPr>
          </w:p>
        </w:tc>
      </w:tr>
      <w:tr>
        <w:trPr>
          <w:trHeight w:val="203"/>
        </w:trPr>
        <w:tc>
          <w:tcPr>
            <w:tcW w:w="6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Receivables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60,067</w:t>
            </w:r>
          </w:p>
        </w:tc>
        <w:tc>
          <w:tcPr>
            <w:tcW w:w="20" w:type="dxa"/>
            <w:vAlign w:val="bottom"/>
          </w:tcPr>
          <w:p>
            <w:pPr>
              <w:spacing w:after="0"/>
              <w:rPr>
                <w:sz w:val="17"/>
                <w:szCs w:val="17"/>
                <w:color w:val="auto"/>
              </w:rPr>
            </w:pP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Contract assets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20" w:type="dxa"/>
            <w:vAlign w:val="bottom"/>
          </w:tcPr>
          <w:p>
            <w:pPr>
              <w:spacing w:after="0"/>
              <w:rPr>
                <w:sz w:val="17"/>
                <w:szCs w:val="17"/>
                <w:color w:val="auto"/>
              </w:rPr>
            </w:pP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 (current and non-current)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w:t>
            </w:r>
          </w:p>
        </w:tc>
        <w:tc>
          <w:tcPr>
            <w:tcW w:w="20" w:type="dxa"/>
            <w:vAlign w:val="bottom"/>
          </w:tcPr>
          <w:p>
            <w:pPr>
              <w:spacing w:after="0"/>
              <w:rPr>
                <w:sz w:val="17"/>
                <w:szCs w:val="17"/>
                <w:color w:val="auto"/>
              </w:rPr>
            </w:pP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Contract liabilities (current and non-current)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(51,590)</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w:t>
            </w:r>
          </w:p>
        </w:tc>
        <w:tc>
          <w:tcPr>
            <w:tcW w:w="20" w:type="dxa"/>
            <w:vAlign w:val="bottom"/>
          </w:tcPr>
          <w:p>
            <w:pPr>
              <w:spacing w:after="0"/>
              <w:rPr>
                <w:sz w:val="17"/>
                <w:szCs w:val="17"/>
                <w:color w:val="auto"/>
              </w:rPr>
            </w:pP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Current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20" w:type="dxa"/>
            <w:vAlign w:val="bottom"/>
          </w:tcPr>
          <w:p>
            <w:pPr>
              <w:spacing w:after="0"/>
              <w:rPr>
                <w:sz w:val="17"/>
                <w:szCs w:val="17"/>
                <w:color w:val="auto"/>
              </w:rPr>
            </w:pPr>
          </w:p>
        </w:tc>
      </w:tr>
      <w:tr>
        <w:trPr>
          <w:trHeight w:val="196"/>
        </w:trPr>
        <w:tc>
          <w:tcPr>
            <w:tcW w:w="68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352,075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345,243</w:t>
            </w:r>
          </w:p>
        </w:tc>
        <w:tc>
          <w:tcPr>
            <w:tcW w:w="20" w:type="dxa"/>
            <w:vAlign w:val="bottom"/>
          </w:tcPr>
          <w:p>
            <w:pPr>
              <w:spacing w:after="0"/>
              <w:rPr>
                <w:sz w:val="17"/>
                <w:szCs w:val="17"/>
                <w:color w:val="auto"/>
              </w:rPr>
            </w:pPr>
          </w:p>
        </w:tc>
      </w:tr>
      <w:tr>
        <w:trPr>
          <w:trHeight w:val="196"/>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(104,230)</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property damage insurance claims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0" w:type="dxa"/>
            <w:vAlign w:val="bottom"/>
          </w:tcPr>
          <w:p>
            <w:pPr>
              <w:spacing w:after="0"/>
              <w:rPr>
                <w:sz w:val="17"/>
                <w:szCs w:val="17"/>
                <w:color w:val="auto"/>
              </w:rPr>
            </w:pPr>
          </w:p>
        </w:tc>
      </w:tr>
      <w:tr>
        <w:trPr>
          <w:trHeight w:val="203"/>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0" w:type="dxa"/>
            <w:vAlign w:val="bottom"/>
          </w:tcPr>
          <w:p>
            <w:pPr>
              <w:spacing w:after="0"/>
              <w:rPr>
                <w:sz w:val="17"/>
                <w:szCs w:val="17"/>
                <w:color w:val="auto"/>
              </w:rPr>
            </w:pPr>
          </w:p>
        </w:tc>
      </w:tr>
      <w:tr>
        <w:trPr>
          <w:trHeight w:val="196"/>
        </w:trPr>
        <w:tc>
          <w:tcPr>
            <w:tcW w:w="6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(121,871)</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(104,311)</w:t>
            </w:r>
          </w:p>
        </w:tc>
        <w:tc>
          <w:tcPr>
            <w:tcW w:w="20" w:type="dxa"/>
            <w:vAlign w:val="bottom"/>
          </w:tcPr>
          <w:p>
            <w:pPr>
              <w:spacing w:after="0"/>
              <w:rPr>
                <w:sz w:val="17"/>
                <w:szCs w:val="17"/>
                <w:color w:val="auto"/>
              </w:rPr>
            </w:pPr>
          </w:p>
        </w:tc>
      </w:tr>
      <w:tr>
        <w:trPr>
          <w:trHeight w:val="193"/>
        </w:trPr>
        <w:tc>
          <w:tcPr>
            <w:tcW w:w="6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short-term borrowings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borrowings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(130,531)</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(39,085)</w:t>
            </w: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 to redeemable noncontrolling interest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redeemable noncontrolling interest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(14,624)</w:t>
            </w: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(125,839)</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excise taxes on share repurchases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2"/>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exercises under stock plans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on exercises under stock plans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20" w:type="dxa"/>
            <w:vAlign w:val="bottom"/>
          </w:tcPr>
          <w:p>
            <w:pPr>
              <w:spacing w:after="0"/>
              <w:rPr>
                <w:sz w:val="17"/>
                <w:szCs w:val="17"/>
                <w:color w:val="auto"/>
              </w:rPr>
            </w:pPr>
          </w:p>
        </w:tc>
      </w:tr>
      <w:tr>
        <w:trPr>
          <w:trHeight w:val="203"/>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0" w:type="dxa"/>
            <w:vAlign w:val="bottom"/>
          </w:tcPr>
          <w:p>
            <w:pPr>
              <w:spacing w:after="0"/>
              <w:rPr>
                <w:sz w:val="17"/>
                <w:szCs w:val="17"/>
                <w:color w:val="auto"/>
              </w:rPr>
            </w:pPr>
          </w:p>
        </w:tc>
      </w:tr>
      <w:tr>
        <w:trPr>
          <w:trHeight w:val="196"/>
        </w:trPr>
        <w:tc>
          <w:tcPr>
            <w:tcW w:w="6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(186,169)</w:t>
            </w:r>
          </w:p>
        </w:tc>
        <w:tc>
          <w:tcPr>
            <w:tcW w:w="20" w:type="dxa"/>
            <w:vAlign w:val="bottom"/>
          </w:tcPr>
          <w:p>
            <w:pPr>
              <w:spacing w:after="0"/>
              <w:rPr>
                <w:sz w:val="17"/>
                <w:szCs w:val="17"/>
                <w:color w:val="auto"/>
              </w:rPr>
            </w:pPr>
          </w:p>
        </w:tc>
      </w:tr>
      <w:tr>
        <w:trPr>
          <w:trHeight w:val="196"/>
        </w:trPr>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20" w:type="dxa"/>
            <w:vAlign w:val="bottom"/>
          </w:tcPr>
          <w:p>
            <w:pPr>
              <w:spacing w:after="0"/>
              <w:rPr>
                <w:sz w:val="17"/>
                <w:szCs w:val="17"/>
                <w:color w:val="auto"/>
              </w:rPr>
            </w:pPr>
          </w:p>
        </w:tc>
      </w:tr>
      <w:tr>
        <w:trPr>
          <w:trHeight w:val="196"/>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(65,095)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61,792</w:t>
            </w:r>
          </w:p>
        </w:tc>
        <w:tc>
          <w:tcPr>
            <w:tcW w:w="20" w:type="dxa"/>
            <w:vAlign w:val="bottom"/>
          </w:tcPr>
          <w:p>
            <w:pPr>
              <w:spacing w:after="0"/>
              <w:rPr>
                <w:sz w:val="17"/>
                <w:szCs w:val="17"/>
                <w:color w:val="auto"/>
              </w:rPr>
            </w:pPr>
          </w:p>
        </w:tc>
      </w:tr>
      <w:tr>
        <w:trPr>
          <w:trHeight w:val="203"/>
        </w:trPr>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187,140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164,315</w:t>
            </w:r>
          </w:p>
        </w:tc>
        <w:tc>
          <w:tcPr>
            <w:tcW w:w="20" w:type="dxa"/>
            <w:vAlign w:val="bottom"/>
          </w:tcPr>
          <w:p>
            <w:pPr>
              <w:spacing w:after="0"/>
              <w:rPr>
                <w:sz w:val="17"/>
                <w:szCs w:val="17"/>
                <w:color w:val="auto"/>
              </w:rPr>
            </w:pPr>
          </w:p>
        </w:tc>
      </w:tr>
      <w:tr>
        <w:trPr>
          <w:trHeight w:val="196"/>
        </w:trPr>
        <w:tc>
          <w:tcPr>
            <w:tcW w:w="6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226,107</w:t>
            </w:r>
          </w:p>
        </w:tc>
        <w:tc>
          <w:tcPr>
            <w:tcW w:w="2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20,538</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19,724</w:t>
            </w:r>
          </w:p>
        </w:tc>
        <w:tc>
          <w:tcPr>
            <w:tcW w:w="2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paid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68,143</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280"/>
          </w:cols>
          <w:pgMar w:left="1320" w:top="36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5880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80"/>
          </w:cols>
          <w:pgMar w:left="1320" w:top="364" w:right="12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AND REDEEMABLE NONCONTROLLING INTERESTS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27, 2025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 (loss)</w:t>
      </w:r>
    </w:p>
    <w:p>
      <w:pPr>
        <w:ind w:left="220" w:right="760"/>
        <w:spacing w:after="0" w:line="234" w:lineRule="auto"/>
        <w:rPr>
          <w:sz w:val="20"/>
          <w:szCs w:val="20"/>
          <w:color w:val="auto"/>
        </w:rPr>
      </w:pPr>
      <w:r>
        <w:rPr>
          <w:rFonts w:ascii="Times New Roman" w:cs="Times New Roman" w:eastAsia="Times New Roman" w:hAnsi="Times New Roman"/>
          <w:sz w:val="12"/>
          <w:szCs w:val="12"/>
          <w:color w:val="auto"/>
        </w:rPr>
        <w:t>Other comprehensive income (loss), net of tax Cash dividends declared ($0.77 per share)</w:t>
      </w:r>
    </w:p>
    <w:p>
      <w:pPr>
        <w:spacing w:after="0" w:line="1" w:lineRule="exact"/>
        <w:rPr>
          <w:sz w:val="20"/>
          <w:szCs w:val="20"/>
          <w:color w:val="auto"/>
        </w:rPr>
      </w:pPr>
    </w:p>
    <w:p>
      <w:pPr>
        <w:ind w:left="220" w:right="260"/>
        <w:spacing w:after="0" w:line="227" w:lineRule="auto"/>
        <w:rPr>
          <w:sz w:val="20"/>
          <w:szCs w:val="20"/>
          <w:color w:val="auto"/>
        </w:rPr>
      </w:pPr>
      <w:r>
        <w:rPr>
          <w:rFonts w:ascii="Times New Roman" w:cs="Times New Roman" w:eastAsia="Times New Roman" w:hAnsi="Times New Roman"/>
          <w:sz w:val="13"/>
          <w:szCs w:val="13"/>
          <w:color w:val="auto"/>
        </w:rPr>
        <w:t>Repurchases of common stock; 131,197 shares acquired Stock option and incentive plans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March 28, 2026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w:t>
      </w:r>
    </w:p>
    <w:p>
      <w:pPr>
        <w:ind w:left="220"/>
        <w:spacing w:after="0" w:line="234" w:lineRule="auto"/>
        <w:rPr>
          <w:sz w:val="20"/>
          <w:szCs w:val="20"/>
          <w:color w:val="auto"/>
        </w:rPr>
      </w:pPr>
      <w:r>
        <w:rPr>
          <w:rFonts w:ascii="Times New Roman" w:cs="Times New Roman" w:eastAsia="Times New Roman" w:hAnsi="Times New Roman"/>
          <w:sz w:val="13"/>
          <w:szCs w:val="13"/>
          <w:color w:val="auto"/>
        </w:rPr>
        <w:t>Other comprehensive loss, net of tax</w:t>
      </w:r>
    </w:p>
    <w:p>
      <w:pPr>
        <w:ind w:left="220"/>
        <w:spacing w:after="0" w:line="216" w:lineRule="auto"/>
        <w:rPr>
          <w:sz w:val="20"/>
          <w:szCs w:val="20"/>
          <w:color w:val="auto"/>
        </w:rPr>
      </w:pPr>
      <w:r>
        <w:rPr>
          <w:rFonts w:ascii="Times New Roman" w:cs="Times New Roman" w:eastAsia="Times New Roman" w:hAnsi="Times New Roman"/>
          <w:sz w:val="13"/>
          <w:szCs w:val="13"/>
          <w:color w:val="auto"/>
        </w:rPr>
        <w:t>Cash dividends declared ($0.77 per share)</w:t>
      </w:r>
    </w:p>
    <w:p>
      <w:pPr>
        <w:ind w:left="220"/>
        <w:spacing w:after="0" w:line="217" w:lineRule="auto"/>
        <w:rPr>
          <w:sz w:val="20"/>
          <w:szCs w:val="20"/>
          <w:color w:val="auto"/>
        </w:rPr>
      </w:pPr>
      <w:r>
        <w:rPr>
          <w:rFonts w:ascii="Times New Roman" w:cs="Times New Roman" w:eastAsia="Times New Roman" w:hAnsi="Times New Roman"/>
          <w:sz w:val="13"/>
          <w:szCs w:val="13"/>
          <w:color w:val="auto"/>
        </w:rPr>
        <w:t>Dividends to redeemable noncontrolling interests</w:t>
      </w:r>
    </w:p>
    <w:p>
      <w:pPr>
        <w:ind w:left="220"/>
        <w:spacing w:after="0" w:line="217" w:lineRule="auto"/>
        <w:rPr>
          <w:sz w:val="20"/>
          <w:szCs w:val="20"/>
          <w:color w:val="auto"/>
        </w:rPr>
      </w:pPr>
      <w:r>
        <w:rPr>
          <w:rFonts w:ascii="Times New Roman" w:cs="Times New Roman" w:eastAsia="Times New Roman" w:hAnsi="Times New Roman"/>
          <w:sz w:val="13"/>
          <w:szCs w:val="13"/>
          <w:color w:val="auto"/>
        </w:rPr>
        <w:t>Repurchases of common stock; 118,719 shares acquired</w:t>
      </w:r>
    </w:p>
    <w:p>
      <w:pPr>
        <w:ind w:left="220"/>
        <w:spacing w:after="0"/>
        <w:rPr>
          <w:sz w:val="20"/>
          <w:szCs w:val="20"/>
          <w:color w:val="auto"/>
        </w:rPr>
      </w:pPr>
      <w:r>
        <w:rPr>
          <w:rFonts w:ascii="Times New Roman" w:cs="Times New Roman" w:eastAsia="Times New Roman" w:hAnsi="Times New Roman"/>
          <w:sz w:val="13"/>
          <w:szCs w:val="13"/>
          <w:color w:val="auto"/>
        </w:rPr>
        <w:t>Stock option and incentive plans</w:t>
      </w: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June 27, 2026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w:t>
      </w:r>
    </w:p>
    <w:p>
      <w:pPr>
        <w:spacing w:after="0" w:line="11" w:lineRule="exact"/>
        <w:rPr>
          <w:sz w:val="20"/>
          <w:szCs w:val="20"/>
          <w:color w:val="auto"/>
        </w:rPr>
      </w:pPr>
    </w:p>
    <w:p>
      <w:pPr>
        <w:ind w:left="220" w:right="760"/>
        <w:spacing w:after="0" w:line="234" w:lineRule="auto"/>
        <w:rPr>
          <w:sz w:val="20"/>
          <w:szCs w:val="20"/>
          <w:color w:val="auto"/>
        </w:rPr>
      </w:pPr>
      <w:r>
        <w:rPr>
          <w:rFonts w:ascii="Times New Roman" w:cs="Times New Roman" w:eastAsia="Times New Roman" w:hAnsi="Times New Roman"/>
          <w:sz w:val="12"/>
          <w:szCs w:val="12"/>
          <w:color w:val="auto"/>
        </w:rPr>
        <w:t>Other comprehensive income (loss), net of tax Cash dividends declared ($0.77 per share)</w:t>
      </w:r>
    </w:p>
    <w:p>
      <w:pPr>
        <w:spacing w:after="0" w:line="1" w:lineRule="exact"/>
        <w:rPr>
          <w:sz w:val="20"/>
          <w:szCs w:val="20"/>
          <w:color w:val="auto"/>
        </w:rPr>
      </w:pPr>
    </w:p>
    <w:p>
      <w:pPr>
        <w:ind w:left="220" w:right="260"/>
        <w:spacing w:after="0" w:line="227" w:lineRule="auto"/>
        <w:rPr>
          <w:sz w:val="20"/>
          <w:szCs w:val="20"/>
          <w:color w:val="auto"/>
        </w:rPr>
      </w:pPr>
      <w:r>
        <w:rPr>
          <w:rFonts w:ascii="Times New Roman" w:cs="Times New Roman" w:eastAsia="Times New Roman" w:hAnsi="Times New Roman"/>
          <w:sz w:val="13"/>
          <w:szCs w:val="13"/>
          <w:color w:val="auto"/>
        </w:rPr>
        <w:t>Repurchases of common stock; 171,271 shares acquired Stock option and incentive plans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September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28, 2024</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 (loss)</w:t>
      </w:r>
    </w:p>
    <w:p>
      <w:pPr>
        <w:ind w:left="220"/>
        <w:spacing w:after="0" w:line="216" w:lineRule="auto"/>
        <w:rPr>
          <w:sz w:val="20"/>
          <w:szCs w:val="20"/>
          <w:color w:val="auto"/>
        </w:rPr>
      </w:pPr>
      <w:r>
        <w:rPr>
          <w:rFonts w:ascii="Times New Roman" w:cs="Times New Roman" w:eastAsia="Times New Roman" w:hAnsi="Times New Roman"/>
          <w:sz w:val="13"/>
          <w:szCs w:val="13"/>
          <w:color w:val="auto"/>
        </w:rPr>
        <w:t>Other comprehensive income (loss), net of tax</w:t>
      </w:r>
    </w:p>
    <w:p>
      <w:pPr>
        <w:ind w:left="220"/>
        <w:spacing w:after="0" w:line="217" w:lineRule="auto"/>
        <w:rPr>
          <w:sz w:val="20"/>
          <w:szCs w:val="20"/>
          <w:color w:val="auto"/>
        </w:rPr>
      </w:pPr>
      <w:r>
        <w:rPr>
          <w:rFonts w:ascii="Times New Roman" w:cs="Times New Roman" w:eastAsia="Times New Roman" w:hAnsi="Times New Roman"/>
          <w:sz w:val="13"/>
          <w:szCs w:val="13"/>
          <w:color w:val="auto"/>
        </w:rPr>
        <w:t>Cash dividends declared ($0.68 per share)</w:t>
      </w:r>
    </w:p>
    <w:p>
      <w:pPr>
        <w:ind w:left="220"/>
        <w:spacing w:after="0" w:line="217" w:lineRule="auto"/>
        <w:rPr>
          <w:sz w:val="20"/>
          <w:szCs w:val="20"/>
          <w:color w:val="auto"/>
        </w:rPr>
      </w:pPr>
      <w:r>
        <w:rPr>
          <w:rFonts w:ascii="Times New Roman" w:cs="Times New Roman" w:eastAsia="Times New Roman" w:hAnsi="Times New Roman"/>
          <w:sz w:val="13"/>
          <w:szCs w:val="13"/>
          <w:color w:val="auto"/>
        </w:rPr>
        <w:t>Dividends to redeemable noncontrolling interests</w:t>
      </w:r>
    </w:p>
    <w:p>
      <w:pPr>
        <w:ind w:left="220"/>
        <w:spacing w:after="0" w:line="227" w:lineRule="auto"/>
        <w:rPr>
          <w:sz w:val="20"/>
          <w:szCs w:val="20"/>
          <w:color w:val="auto"/>
        </w:rPr>
      </w:pPr>
      <w:r>
        <w:rPr>
          <w:rFonts w:ascii="Times New Roman" w:cs="Times New Roman" w:eastAsia="Times New Roman" w:hAnsi="Times New Roman"/>
          <w:sz w:val="13"/>
          <w:szCs w:val="13"/>
          <w:color w:val="auto"/>
        </w:rPr>
        <w:t>Fair value adjustment on redeemable noncontrolling interests Stock option and incentive plans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March 29, 2025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 (loss)</w:t>
      </w:r>
    </w:p>
    <w:p>
      <w:pPr>
        <w:spacing w:after="0" w:line="11" w:lineRule="exact"/>
        <w:rPr>
          <w:sz w:val="20"/>
          <w:szCs w:val="20"/>
          <w:color w:val="auto"/>
        </w:rPr>
      </w:pPr>
    </w:p>
    <w:p>
      <w:pPr>
        <w:ind w:left="220" w:right="960"/>
        <w:spacing w:after="0" w:line="234" w:lineRule="auto"/>
        <w:rPr>
          <w:sz w:val="20"/>
          <w:szCs w:val="20"/>
          <w:color w:val="auto"/>
        </w:rPr>
      </w:pPr>
      <w:r>
        <w:rPr>
          <w:rFonts w:ascii="Times New Roman" w:cs="Times New Roman" w:eastAsia="Times New Roman" w:hAnsi="Times New Roman"/>
          <w:sz w:val="12"/>
          <w:szCs w:val="12"/>
          <w:color w:val="auto"/>
        </w:rPr>
        <w:t>Other comprehensive income, net of tax Cash dividends declared ($0.68 per share)</w:t>
      </w:r>
    </w:p>
    <w:p>
      <w:pPr>
        <w:ind w:left="220"/>
        <w:spacing w:after="0" w:line="236" w:lineRule="auto"/>
        <w:rPr>
          <w:sz w:val="20"/>
          <w:szCs w:val="20"/>
          <w:color w:val="auto"/>
        </w:rPr>
      </w:pPr>
      <w:r>
        <w:rPr>
          <w:rFonts w:ascii="Times New Roman" w:cs="Times New Roman" w:eastAsia="Times New Roman" w:hAnsi="Times New Roman"/>
          <w:sz w:val="12"/>
          <w:szCs w:val="12"/>
          <w:color w:val="auto"/>
        </w:rPr>
        <w:t>Fair value adjustment on redeemable noncontrolling interests</w:t>
      </w:r>
    </w:p>
    <w:p>
      <w:pPr>
        <w:ind w:left="220"/>
        <w:spacing w:after="0" w:line="217" w:lineRule="auto"/>
        <w:rPr>
          <w:sz w:val="20"/>
          <w:szCs w:val="20"/>
          <w:color w:val="auto"/>
        </w:rPr>
      </w:pPr>
      <w:r>
        <w:rPr>
          <w:rFonts w:ascii="Times New Roman" w:cs="Times New Roman" w:eastAsia="Times New Roman" w:hAnsi="Times New Roman"/>
          <w:sz w:val="13"/>
          <w:szCs w:val="13"/>
          <w:color w:val="auto"/>
        </w:rPr>
        <w:t>Change in redemption value of noncontrolling interests</w:t>
      </w:r>
    </w:p>
    <w:p>
      <w:pPr>
        <w:ind w:left="220"/>
        <w:spacing w:after="0" w:line="216" w:lineRule="auto"/>
        <w:rPr>
          <w:sz w:val="20"/>
          <w:szCs w:val="20"/>
          <w:color w:val="auto"/>
        </w:rPr>
      </w:pPr>
      <w:r>
        <w:rPr>
          <w:rFonts w:ascii="Times New Roman" w:cs="Times New Roman" w:eastAsia="Times New Roman" w:hAnsi="Times New Roman"/>
          <w:sz w:val="13"/>
          <w:szCs w:val="13"/>
          <w:color w:val="auto"/>
        </w:rPr>
        <w:t>Repurchases of common stock; 357,979 shares acquired</w:t>
      </w:r>
    </w:p>
    <w:p>
      <w:pPr>
        <w:ind w:left="220"/>
        <w:spacing w:after="0"/>
        <w:rPr>
          <w:sz w:val="20"/>
          <w:szCs w:val="20"/>
          <w:color w:val="auto"/>
        </w:rPr>
      </w:pPr>
      <w:r>
        <w:rPr>
          <w:rFonts w:ascii="Times New Roman" w:cs="Times New Roman" w:eastAsia="Times New Roman" w:hAnsi="Times New Roman"/>
          <w:sz w:val="13"/>
          <w:szCs w:val="13"/>
          <w:color w:val="auto"/>
        </w:rPr>
        <w:t>Stock option and incentive plans</w:t>
      </w: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June 28, 2025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Net earnings</w:t>
      </w:r>
    </w:p>
    <w:p>
      <w:pPr>
        <w:ind w:left="220"/>
        <w:spacing w:after="0" w:line="234" w:lineRule="auto"/>
        <w:rPr>
          <w:sz w:val="20"/>
          <w:szCs w:val="20"/>
          <w:color w:val="auto"/>
        </w:rPr>
      </w:pPr>
      <w:r>
        <w:rPr>
          <w:rFonts w:ascii="Times New Roman" w:cs="Times New Roman" w:eastAsia="Times New Roman" w:hAnsi="Times New Roman"/>
          <w:sz w:val="13"/>
          <w:szCs w:val="13"/>
          <w:color w:val="auto"/>
        </w:rPr>
        <w:t>Other comprehensive loss, net of tax</w:t>
      </w:r>
    </w:p>
    <w:p>
      <w:pPr>
        <w:ind w:left="220"/>
        <w:spacing w:after="0" w:line="216" w:lineRule="auto"/>
        <w:rPr>
          <w:sz w:val="20"/>
          <w:szCs w:val="20"/>
          <w:color w:val="auto"/>
        </w:rPr>
      </w:pPr>
      <w:r>
        <w:rPr>
          <w:rFonts w:ascii="Times New Roman" w:cs="Times New Roman" w:eastAsia="Times New Roman" w:hAnsi="Times New Roman"/>
          <w:sz w:val="13"/>
          <w:szCs w:val="13"/>
          <w:color w:val="auto"/>
        </w:rPr>
        <w:t>Cash dividends declared ($0.68 per share)</w:t>
      </w:r>
    </w:p>
    <w:p>
      <w:pPr>
        <w:ind w:left="220"/>
        <w:spacing w:after="0" w:line="217" w:lineRule="auto"/>
        <w:rPr>
          <w:sz w:val="20"/>
          <w:szCs w:val="20"/>
          <w:color w:val="auto"/>
        </w:rPr>
      </w:pPr>
      <w:r>
        <w:rPr>
          <w:rFonts w:ascii="Times New Roman" w:cs="Times New Roman" w:eastAsia="Times New Roman" w:hAnsi="Times New Roman"/>
          <w:sz w:val="13"/>
          <w:szCs w:val="13"/>
          <w:color w:val="auto"/>
        </w:rPr>
        <w:t>Purchases of redeemable noncontrolling interests</w:t>
      </w:r>
    </w:p>
    <w:p>
      <w:pPr>
        <w:ind w:left="220"/>
        <w:spacing w:after="0" w:line="217" w:lineRule="auto"/>
        <w:rPr>
          <w:sz w:val="20"/>
          <w:szCs w:val="20"/>
          <w:color w:val="auto"/>
        </w:rPr>
      </w:pPr>
      <w:r>
        <w:rPr>
          <w:rFonts w:ascii="Times New Roman" w:cs="Times New Roman" w:eastAsia="Times New Roman" w:hAnsi="Times New Roman"/>
          <w:sz w:val="13"/>
          <w:szCs w:val="13"/>
          <w:color w:val="auto"/>
        </w:rPr>
        <w:t>Repurchases of common stock; 69,005 shares acquired</w:t>
      </w:r>
    </w:p>
    <w:p>
      <w:pPr>
        <w:ind w:left="220"/>
        <w:spacing w:after="0"/>
        <w:rPr>
          <w:sz w:val="20"/>
          <w:szCs w:val="20"/>
          <w:color w:val="auto"/>
        </w:rPr>
      </w:pPr>
      <w:r>
        <w:rPr>
          <w:rFonts w:ascii="Times New Roman" w:cs="Times New Roman" w:eastAsia="Times New Roman" w:hAnsi="Times New Roman"/>
          <w:sz w:val="13"/>
          <w:szCs w:val="13"/>
          <w:color w:val="auto"/>
        </w:rPr>
        <w:t>Stock option and incentive plans</w:t>
      </w:r>
    </w:p>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September 27, 2025</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 Accumulated</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noncontrolling</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27,900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$ 3,156,235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(290,515)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 (1,260,833)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1,632,787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9,498</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108,033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108,033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(14,948)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(14,948)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(57,029)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(57,029)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(5,296)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8,909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$ 3,244,024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(283,689)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(1,308,953)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1,679,282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119,918</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119,918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304</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(14,864)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(14,864)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(712)</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(60,563)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(60,563)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3,644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$ 3,351,715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(286,990)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(1,365,872)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1,726,753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121,053</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121,053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411</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5,449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5,449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5"/>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(14,737)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(84,855)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(84,855)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2,216</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2,659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2,216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$ 3,460,690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(281,541)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(1,449,644)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1,759,621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 Accumulated</w:t>
            </w: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noncontrolling</w:t>
            </w:r>
          </w:p>
        </w:tc>
        <w:tc>
          <w:tcPr>
            <w:tcW w:w="0" w:type="dxa"/>
            <w:vAlign w:val="bottom"/>
          </w:tcPr>
          <w:p>
            <w:pPr>
              <w:spacing w:after="0"/>
              <w:rPr>
                <w:sz w:val="1"/>
                <w:szCs w:val="1"/>
                <w:color w:val="auto"/>
              </w:rPr>
            </w:pPr>
          </w:p>
        </w:tc>
      </w:tr>
      <w:tr>
        <w:trPr>
          <w:trHeight w:val="155"/>
        </w:trPr>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3"/>
                <w:szCs w:val="13"/>
                <w:color w:val="auto"/>
              </w:rPr>
            </w:pP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 earnings</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   stock</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0" w:type="dxa"/>
            <w:vAlign w:val="bottom"/>
          </w:tcPr>
          <w:p>
            <w:pPr>
              <w:spacing w:after="0"/>
              <w:rPr>
                <w:sz w:val="1"/>
                <w:szCs w:val="1"/>
                <w:color w:val="auto"/>
              </w:rPr>
            </w:pPr>
          </w:p>
        </w:tc>
      </w:tr>
      <w:tr>
        <w:trPr>
          <w:trHeight w:val="110"/>
        </w:trPr>
        <w:tc>
          <w:tcPr>
            <w:tcW w:w="120" w:type="dxa"/>
            <w:vAlign w:val="bottom"/>
            <w:gridSpan w:val="2"/>
          </w:tcPr>
          <w:p>
            <w:pPr>
              <w:spacing w:after="0"/>
              <w:rPr>
                <w:sz w:val="9"/>
                <w:szCs w:val="9"/>
                <w:color w:val="auto"/>
              </w:rPr>
            </w:pPr>
          </w:p>
        </w:tc>
        <w:tc>
          <w:tcPr>
            <w:tcW w:w="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gridSpan w:val="2"/>
          </w:tcPr>
          <w:p>
            <w:pPr>
              <w:jc w:val="right"/>
              <w:ind w:right="40"/>
              <w:spacing w:after="0" w:line="110" w:lineRule="exact"/>
              <w:rPr>
                <w:sz w:val="20"/>
                <w:szCs w:val="20"/>
                <w:color w:val="auto"/>
              </w:rPr>
            </w:pPr>
            <w:r>
              <w:rPr>
                <w:rFonts w:ascii="Times New Roman" w:cs="Times New Roman" w:eastAsia="Times New Roman" w:hAnsi="Times New Roman"/>
                <w:sz w:val="12"/>
                <w:szCs w:val="12"/>
                <w:color w:val="auto"/>
              </w:rPr>
              <w:t>27,900</w:t>
            </w:r>
          </w:p>
        </w:tc>
        <w:tc>
          <w:tcPr>
            <w:tcW w:w="140" w:type="dxa"/>
            <w:vAlign w:val="bottom"/>
            <w:gridSpan w:val="2"/>
          </w:tcPr>
          <w:p>
            <w:pPr>
              <w:spacing w:after="0"/>
              <w:rPr>
                <w:sz w:val="9"/>
                <w:szCs w:val="9"/>
                <w:color w:val="auto"/>
              </w:rPr>
            </w:pPr>
          </w:p>
        </w:tc>
        <w:tc>
          <w:tcPr>
            <w:tcW w:w="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tcPr>
          <w:p>
            <w:pPr>
              <w:spacing w:after="0"/>
              <w:rPr>
                <w:sz w:val="9"/>
                <w:szCs w:val="9"/>
                <w:color w:val="auto"/>
              </w:rPr>
            </w:pPr>
          </w:p>
        </w:tc>
        <w:tc>
          <w:tcPr>
            <w:tcW w:w="140" w:type="dxa"/>
            <w:vAlign w:val="bottom"/>
            <w:gridSpan w:val="2"/>
          </w:tcPr>
          <w:p>
            <w:pPr>
              <w:spacing w:after="0"/>
              <w:rPr>
                <w:sz w:val="9"/>
                <w:szCs w:val="9"/>
                <w:color w:val="auto"/>
              </w:rPr>
            </w:pPr>
          </w:p>
        </w:tc>
        <w:tc>
          <w:tcPr>
            <w:tcW w:w="6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$ 2,940,838</w:t>
            </w: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gridSpan w:val="2"/>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(332,775)</w:t>
            </w: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720" w:type="dxa"/>
            <w:vAlign w:val="bottom"/>
            <w:tcBorders>
              <w:top w:val="single" w:sz="8" w:color="auto"/>
            </w:tcBorders>
            <w:gridSpan w:val="2"/>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 (1,093,869)</w:t>
            </w: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1,542,094</w:t>
            </w: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gridSpan w:val="2"/>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51,519</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87,261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87,261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(598)</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22,676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22,676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(424)</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(13,647)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(13,647)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(698)</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(7,100)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7,100</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(8,306)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12,024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2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14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$ 2,999,046</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(310,099)</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6"/>
              </w:rPr>
              <w:t>$ (1,081,845)</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1,635,002</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56,899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4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(4,020)</w:t>
            </w:r>
          </w:p>
        </w:tc>
        <w:tc>
          <w:tcPr>
            <w:tcW w:w="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(4,020)</w:t>
            </w:r>
          </w:p>
        </w:tc>
        <w:tc>
          <w:tcPr>
            <w:tcW w:w="1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729</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31,575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31,575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(13,419)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(13,419)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(26,243)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(26,243)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26,243</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5"/>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(100,855)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(100,855)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5,917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0" w:type="dxa"/>
            <w:vAlign w:val="bottom"/>
            <w:gridSpan w:val="3"/>
            <w:vMerge w:val="continue"/>
          </w:tcPr>
          <w:p>
            <w:pPr>
              <w:spacing w:after="0"/>
              <w:rPr>
                <w:sz w:val="11"/>
                <w:szCs w:val="11"/>
                <w:color w:val="auto"/>
              </w:rPr>
            </w:pPr>
          </w:p>
        </w:tc>
        <w:tc>
          <w:tcPr>
            <w:tcW w:w="56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140" w:type="dxa"/>
            <w:vAlign w:val="bottom"/>
            <w:gridSpan w:val="2"/>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$ 2,956,362</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(278,524)</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2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6"/>
              </w:rPr>
              <w:t>$ (1,176,783)</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1,528,955</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84,062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99,031</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99,031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color w:val="auto"/>
              </w:rPr>
              <w:t>2,061</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(763)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(13,396)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(13,396)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(14,624)</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5"/>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(26,018)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5,919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0" w:type="dxa"/>
            <w:vAlign w:val="bottom"/>
            <w:gridSpan w:val="3"/>
            <w:vMerge w:val="continue"/>
          </w:tcPr>
          <w:p>
            <w:pPr>
              <w:spacing w:after="0"/>
              <w:rPr>
                <w:sz w:val="11"/>
                <w:szCs w:val="11"/>
                <w:color w:val="auto"/>
              </w:rPr>
            </w:pPr>
          </w:p>
        </w:tc>
        <w:tc>
          <w:tcPr>
            <w:tcW w:w="56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27,900</w:t>
            </w:r>
          </w:p>
        </w:tc>
        <w:tc>
          <w:tcPr>
            <w:tcW w:w="140" w:type="dxa"/>
            <w:vAlign w:val="bottom"/>
            <w:gridSpan w:val="2"/>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$ 3,044,019</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(279,287)</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2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6"/>
              </w:rPr>
              <w:t>$ (1,196,882)</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1,595,750</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71,468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-4448175</wp:posOffset>
            </wp:positionV>
            <wp:extent cx="5871845"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9398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-4268470</wp:posOffset>
            </wp:positionV>
            <wp:extent cx="587184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-4097020</wp:posOffset>
            </wp:positionV>
            <wp:extent cx="587184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-3925570</wp:posOffset>
            </wp:positionV>
            <wp:extent cx="587184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71845" cy="10287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-3719830</wp:posOffset>
            </wp:positionV>
            <wp:extent cx="587184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-3548380</wp:posOffset>
            </wp:positionV>
            <wp:extent cx="587184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-3376930</wp:posOffset>
            </wp:positionV>
            <wp:extent cx="587184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-3188335</wp:posOffset>
            </wp:positionV>
            <wp:extent cx="587184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1845" cy="10287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-2999740</wp:posOffset>
            </wp:positionV>
            <wp:extent cx="587184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-2828290</wp:posOffset>
            </wp:positionV>
            <wp:extent cx="587184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-2082165</wp:posOffset>
            </wp:positionV>
            <wp:extent cx="5871845"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1845" cy="9398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-1902460</wp:posOffset>
            </wp:positionV>
            <wp:extent cx="587184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-1731010</wp:posOffset>
            </wp:positionV>
            <wp:extent cx="587184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-1559560</wp:posOffset>
            </wp:positionV>
            <wp:extent cx="587184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-1370965</wp:posOffset>
            </wp:positionV>
            <wp:extent cx="587184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1845" cy="10287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-1182370</wp:posOffset>
            </wp:positionV>
            <wp:extent cx="587184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-1010920</wp:posOffset>
            </wp:positionV>
            <wp:extent cx="587184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-839470</wp:posOffset>
            </wp:positionV>
            <wp:extent cx="587184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-650875</wp:posOffset>
            </wp:positionV>
            <wp:extent cx="587184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1845" cy="10287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-462280</wp:posOffset>
            </wp:positionV>
            <wp:extent cx="5871845"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-290830</wp:posOffset>
            </wp:positionV>
            <wp:extent cx="587184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71845" cy="857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-119380</wp:posOffset>
            </wp:positionV>
            <wp:extent cx="587184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80"/>
            <w:col w:w="5860"/>
          </w:cols>
          <w:pgMar w:left="1320" w:top="364" w:right="1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7" w:name="page8"/>
    <w:bookmarkEnd w:id="7"/>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1"/>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ind w:left="641" w:right="4300" w:hanging="641"/>
        <w:spacing w:after="0" w:line="503" w:lineRule="auto"/>
        <w:tabs>
          <w:tab w:leader="none" w:pos="24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1"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Valmont Industries, Inc. and its controlled subsidiaries (collectively, “Valmont” or the “Company”). Investments in affiliates and joint ventures over which the Company exercises significant influence but does not control are accounted for using the equity method of accounting. All intercompany accounts and transactions have been eliminated in consolidation.</w:t>
      </w:r>
    </w:p>
    <w:p>
      <w:pPr>
        <w:spacing w:after="0" w:line="180" w:lineRule="exact"/>
        <w:rPr>
          <w:sz w:val="20"/>
          <w:szCs w:val="20"/>
          <w:color w:val="auto"/>
        </w:rPr>
      </w:pPr>
    </w:p>
    <w:p>
      <w:pPr>
        <w:ind w:left="1" w:right="60" w:firstLine="648"/>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United States generally accepted accounting principles (“U.S. GAAP”) for interim financial information. Accordingly, they do not include all of the information and footnote disclosures required by U.S. GAAP for complete annual financial statements.</w:t>
      </w:r>
    </w:p>
    <w:p>
      <w:pPr>
        <w:spacing w:after="0" w:line="176" w:lineRule="exact"/>
        <w:rPr>
          <w:sz w:val="20"/>
          <w:szCs w:val="20"/>
          <w:color w:val="auto"/>
        </w:rPr>
      </w:pPr>
    </w:p>
    <w:p>
      <w:pPr>
        <w:jc w:val="both"/>
        <w:ind w:left="1" w:right="18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reflect all adjustments, consisting of normal recurring adjustments, considered necessary for a fair presentation of the Company’s financial position, results of operations, and cash flows for the interim periods presented. The results of operations for any interim period are not necessarily indicative of the results to be expected for the full fiscal year or for any other period.</w:t>
      </w:r>
    </w:p>
    <w:p>
      <w:pPr>
        <w:spacing w:after="0" w:line="180" w:lineRule="exact"/>
        <w:rPr>
          <w:sz w:val="20"/>
          <w:szCs w:val="20"/>
          <w:color w:val="auto"/>
        </w:rPr>
      </w:pPr>
    </w:p>
    <w:p>
      <w:pPr>
        <w:ind w:left="1" w:right="260" w:firstLine="648"/>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accompanying notes included in the Company’s Annual Report on Form 10-K for the fiscal year ended December 27, 2025.</w:t>
      </w:r>
    </w:p>
    <w:p>
      <w:pPr>
        <w:spacing w:after="0" w:line="176" w:lineRule="exact"/>
        <w:rPr>
          <w:sz w:val="20"/>
          <w:szCs w:val="20"/>
          <w:color w:val="auto"/>
        </w:rPr>
      </w:pPr>
    </w:p>
    <w:p>
      <w:pPr>
        <w:ind w:left="1"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disclosed in Note 1 to the Consolidated Financial Statements included in the Company’s Annual Report on Form 10-K for the fiscal year ended December 27, 2025, except for the matters described below.</w:t>
      </w:r>
    </w:p>
    <w:p>
      <w:pPr>
        <w:spacing w:after="0" w:line="172"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left="1"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an uncommitted trade receivables sale program with a third-party financial institution, which was renewed in March 2026. Under the program, the Company may sell certain eligible trade accounts receivable on a non-recourse basis.</w:t>
      </w:r>
    </w:p>
    <w:p>
      <w:pPr>
        <w:spacing w:after="0" w:line="176" w:lineRule="exact"/>
        <w:rPr>
          <w:sz w:val="20"/>
          <w:szCs w:val="20"/>
          <w:color w:val="auto"/>
        </w:rPr>
      </w:pPr>
    </w:p>
    <w:p>
      <w:pPr>
        <w:ind w:left="1"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 did not utilize the program during the first half of fiscal 2026. During the thirteen weeks ended September 26, 2026, the Company resumed use of the program and sold $40,000 of trade accounts receivable. Transfers of accounts receivable are accounted for as sales, and the sold receivables are removed from “Receivables, less allowance” in the Condensed Consolidated Balance Sheets. Cash proceeds from the sale of receivables are reflected within “Cash flows from operating activities” in the Condensed Consolidated Statements of Cash Flows. Discounts and other fees associated with the program are recorded within “Selling, general, and administrative expenses” in the Condensed Consolidated Statements of Earnings.</w:t>
      </w:r>
    </w:p>
    <w:p>
      <w:pPr>
        <w:spacing w:after="0" w:line="18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1" w:right="20" w:firstLine="648"/>
        <w:spacing w:after="0" w:line="274" w:lineRule="auto"/>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No.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(Subtopic 220-40): Disaggregation of Income Statement Expenses. This update aims to enhance expense disclosures by providing more detailed information on the types of expenses within commonly presented categories. The guidance is effective on a prospective basis, with the option to apply it retrospectively, for the fiscal year ending December 25, 2027, with early adoption permitted. The Company does not expect any impact on its results of operations, as the changes primarily relate to enhanced disclosures.</w:t>
      </w:r>
    </w:p>
    <w:p>
      <w:pPr>
        <w:spacing w:after="0" w:line="171" w:lineRule="exact"/>
        <w:rPr>
          <w:sz w:val="20"/>
          <w:szCs w:val="20"/>
          <w:color w:val="auto"/>
        </w:rPr>
      </w:pPr>
    </w:p>
    <w:p>
      <w:pPr>
        <w:ind w:left="1"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xml:space="preserve"> (Subtopic 350-40): Targeted Improvements to the Accounting for Internal-Use Software. This update amends certain aspects of the accounting for and disclosure of software costs. The guidance will be adopted prospectively for the Form 10-K for the</w:t>
      </w:r>
    </w:p>
    <w:p>
      <w:pPr>
        <w:sectPr>
          <w:pgSz w:w="11900" w:h="16838" w:orient="portrait"/>
          <w:cols w:equalWidth="0" w:num="1">
            <w:col w:w="9241"/>
          </w:cols>
          <w:pgMar w:left="1319" w:top="418" w:right="1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88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418" w:right="1339" w:bottom="1440" w:gutter="0" w:footer="0" w:header="0"/>
          <w:type w:val="continuous"/>
        </w:sectPr>
      </w:pPr>
    </w:p>
    <w:bookmarkStart w:id="8" w:name="page9"/>
    <w:bookmarkEnd w:id="8"/>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1"/>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ind w:left="1" w:right="220"/>
        <w:spacing w:after="0" w:line="282" w:lineRule="auto"/>
        <w:rPr>
          <w:sz w:val="20"/>
          <w:szCs w:val="20"/>
          <w:color w:val="auto"/>
        </w:rPr>
      </w:pPr>
      <w:r>
        <w:rPr>
          <w:rFonts w:ascii="Times New Roman" w:cs="Times New Roman" w:eastAsia="Times New Roman" w:hAnsi="Times New Roman"/>
          <w:sz w:val="18"/>
          <w:szCs w:val="18"/>
          <w:color w:val="auto"/>
        </w:rPr>
        <w:t>fiscal year ending December 30, 2028, with early adoption permitted. The Company is currently evaluating the impact of this standard on the Consolidated Financial Statements and related disclosures.</w:t>
      </w:r>
    </w:p>
    <w:p>
      <w:pPr>
        <w:spacing w:after="0" w:line="160" w:lineRule="exact"/>
        <w:rPr>
          <w:sz w:val="20"/>
          <w:szCs w:val="20"/>
          <w:color w:val="auto"/>
        </w:rPr>
      </w:pPr>
    </w:p>
    <w:p>
      <w:pPr>
        <w:ind w:left="1"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(Topic 815): Hedge Accounting Improvements. This update amends certain aspects of hedge accounting to better align the accounting treatment with an entity’s risk management activities. The guidance will be effective for the Company beginning in fiscal 2027, including interim periods within that fiscal year, with early adoption permitted. The Company does not expect the adoption of this standard to have a material impact on its Consolidated Financial Statements and related disclosures.</w:t>
      </w:r>
    </w:p>
    <w:p>
      <w:pPr>
        <w:spacing w:after="0" w:line="181" w:lineRule="exact"/>
        <w:rPr>
          <w:sz w:val="20"/>
          <w:szCs w:val="20"/>
          <w:color w:val="auto"/>
        </w:rPr>
      </w:pPr>
    </w:p>
    <w:p>
      <w:pPr>
        <w:ind w:left="641" w:right="6320" w:hanging="641"/>
        <w:spacing w:after="0" w:line="503" w:lineRule="auto"/>
        <w:tabs>
          <w:tab w:leader="none" w:pos="24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b w:val="1"/>
          <w:bCs w:val="1"/>
          <w:i w:val="1"/>
          <w:iCs w:val="1"/>
          <w:color w:val="auto"/>
        </w:rPr>
        <w:t>Contract Assets and Liabilities</w:t>
      </w:r>
    </w:p>
    <w:p>
      <w:pPr>
        <w:jc w:val="both"/>
        <w:ind w:left="1" w:right="200"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recognized as revenue is earned over time and are reduced when the customer is invoiced. As of September 26, 2026 and December 27, 2025, the Company’s contract assets totaled $303,996 and $266,922, respectively, and were recorded as “Contract assets” in the Condensed Consolidated Balance Sheets.</w:t>
      </w:r>
    </w:p>
    <w:p>
      <w:pPr>
        <w:spacing w:after="0" w:line="176" w:lineRule="exact"/>
        <w:rPr>
          <w:sz w:val="20"/>
          <w:szCs w:val="20"/>
          <w:color w:val="auto"/>
        </w:rPr>
      </w:pPr>
    </w:p>
    <w:p>
      <w:pPr>
        <w:ind w:left="1" w:right="300" w:firstLine="648"/>
        <w:spacing w:after="0" w:line="256" w:lineRule="auto"/>
        <w:rPr>
          <w:sz w:val="20"/>
          <w:szCs w:val="20"/>
          <w:color w:val="auto"/>
        </w:rPr>
      </w:pPr>
      <w:r>
        <w:rPr>
          <w:rFonts w:ascii="Times New Roman" w:cs="Times New Roman" w:eastAsia="Times New Roman" w:hAnsi="Times New Roman"/>
          <w:sz w:val="18"/>
          <w:szCs w:val="18"/>
          <w:color w:val="auto"/>
        </w:rPr>
        <w:t>Certain customers are invoiced through advance or progress billings. When the progress toward performance obligations is less than the amount billed to the customer, the excess is recorded as a contract liability. As of September 26, 2026, total contract liabilities were $65,240, with $64,911 recorded as “Contract liabilities” and $329 as “Other non-current liabilities” in the Condensed Consolidated Balance Sheets. As of December 27, 2025, total contract liabilities were $52,475, with $52,013 recorded as “Contract liabilities” and $462 as “Other non-current liabilities” in the Condensed Consolidated Balance Sheets.</w:t>
      </w:r>
    </w:p>
    <w:p>
      <w:pPr>
        <w:spacing w:after="0" w:line="79" w:lineRule="exact"/>
        <w:rPr>
          <w:sz w:val="20"/>
          <w:szCs w:val="20"/>
          <w:color w:val="auto"/>
        </w:rPr>
      </w:pPr>
    </w:p>
    <w:p>
      <w:pPr>
        <w:ind w:left="1"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thirteen and thirty-nine weeks ended September 26, 2026, the Company recognized $5,520 and $44,706 in revenue, respectively, from amounts included in contract liabilities as of December 27, 2025. During the thirteen and thirty-nine weeks ended September 27, 2025, the Company recognized $44,525 and $101,468 from amounts included in contract liabilities as of December 28, 2024. This revenue reflects advance payments applied to performance obligations completed during the respective periods.</w:t>
      </w:r>
    </w:p>
    <w:p>
      <w:pPr>
        <w:spacing w:after="0" w:line="183" w:lineRule="exact"/>
        <w:rPr>
          <w:sz w:val="20"/>
          <w:szCs w:val="20"/>
          <w:color w:val="auto"/>
        </w:rPr>
      </w:pPr>
    </w:p>
    <w:p>
      <w:pPr>
        <w:ind w:left="1" w:right="80" w:firstLine="648"/>
        <w:spacing w:after="0" w:line="312" w:lineRule="auto"/>
        <w:rPr>
          <w:sz w:val="20"/>
          <w:szCs w:val="20"/>
          <w:color w:val="auto"/>
        </w:rPr>
      </w:pPr>
      <w:r>
        <w:rPr>
          <w:rFonts w:ascii="Times New Roman" w:cs="Times New Roman" w:eastAsia="Times New Roman" w:hAnsi="Times New Roman"/>
          <w:sz w:val="17"/>
          <w:szCs w:val="17"/>
          <w:color w:val="auto"/>
        </w:rPr>
        <w:t>As of September 26, 2026, the Company had $329 in remaining performance obligations on contracts with an original expected duration of one year or more, which the Company expects to recognize as revenue within the next 12 to 36 months.</w:t>
      </w:r>
    </w:p>
    <w:p>
      <w:pPr>
        <w:spacing w:after="0" w:line="136"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1" w:right="80" w:firstLine="648"/>
        <w:spacing w:after="0" w:line="282" w:lineRule="auto"/>
        <w:rPr>
          <w:sz w:val="20"/>
          <w:szCs w:val="20"/>
          <w:color w:val="auto"/>
        </w:rPr>
      </w:pPr>
      <w:r>
        <w:rPr>
          <w:rFonts w:ascii="Times New Roman" w:cs="Times New Roman" w:eastAsia="Times New Roman" w:hAnsi="Times New Roman"/>
          <w:sz w:val="18"/>
          <w:szCs w:val="18"/>
          <w:color w:val="auto"/>
        </w:rPr>
        <w:t>A breakdown of revenue recognized over time and at a point in time by segment for the thirteen and thirty-nine weeks ended September 26, 2026 and September 27, 2025 is as follows:</w:t>
      </w:r>
    </w:p>
    <w:p>
      <w:pPr>
        <w:spacing w:after="0" w:line="17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6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332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Thirteen weeks ended September 26, 2026</w:t>
            </w:r>
          </w:p>
        </w:tc>
        <w:tc>
          <w:tcPr>
            <w:tcW w:w="10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Thirty-nine weeks ended September 26, 2026</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Point in Time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Over Time</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200" w:type="dxa"/>
            <w:vAlign w:val="bottom"/>
          </w:tcPr>
          <w:p>
            <w:pPr>
              <w:spacing w:after="0"/>
              <w:rPr>
                <w:sz w:val="17"/>
                <w:szCs w:val="17"/>
                <w:color w:val="auto"/>
              </w:rPr>
            </w:pPr>
          </w:p>
        </w:tc>
        <w:tc>
          <w:tcPr>
            <w:tcW w:w="11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Point in Time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Over Time</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0" w:type="dxa"/>
            <w:vAlign w:val="bottom"/>
          </w:tcPr>
          <w:p>
            <w:pPr>
              <w:spacing w:after="0"/>
              <w:rPr>
                <w:sz w:val="1"/>
                <w:szCs w:val="1"/>
                <w:color w:val="auto"/>
              </w:rPr>
            </w:pPr>
          </w:p>
        </w:tc>
      </w:tr>
      <w:tr>
        <w:trPr>
          <w:trHeight w:val="196"/>
        </w:trPr>
        <w:tc>
          <w:tcPr>
            <w:tcW w:w="18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Infrastructure</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394,116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485,470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879,586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1,198,250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1,361,234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2,559,484</w:t>
            </w:r>
          </w:p>
        </w:tc>
        <w:tc>
          <w:tcPr>
            <w:tcW w:w="0" w:type="dxa"/>
            <w:vAlign w:val="bottom"/>
          </w:tcPr>
          <w:p>
            <w:pPr>
              <w:spacing w:after="0"/>
              <w:rPr>
                <w:sz w:val="1"/>
                <w:szCs w:val="1"/>
                <w:color w:val="auto"/>
              </w:rPr>
            </w:pPr>
          </w:p>
        </w:tc>
      </w:tr>
      <w:tr>
        <w:trPr>
          <w:trHeight w:val="203"/>
        </w:trPr>
        <w:tc>
          <w:tcPr>
            <w:tcW w:w="1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Agriculture</w:t>
            </w: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215,274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665,967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26,236</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692,203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609,390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494,411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1,864,217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1,387,470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Thirteen weeks ended September 27, 2025</w:t>
            </w:r>
          </w:p>
        </w:tc>
        <w:tc>
          <w:tcPr>
            <w:tcW w:w="100" w:type="dxa"/>
            <w:vAlign w:val="bottom"/>
          </w:tcPr>
          <w:p>
            <w:pPr>
              <w:spacing w:after="0"/>
              <w:rPr>
                <w:sz w:val="18"/>
                <w:szCs w:val="18"/>
                <w:color w:val="auto"/>
              </w:rPr>
            </w:pPr>
          </w:p>
        </w:tc>
        <w:tc>
          <w:tcPr>
            <w:tcW w:w="32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 September 27, 2025</w:t>
            </w:r>
          </w:p>
        </w:tc>
      </w:tr>
      <w:tr>
        <w:trPr>
          <w:trHeight w:val="202"/>
        </w:trPr>
        <w:tc>
          <w:tcPr>
            <w:tcW w:w="2480" w:type="dxa"/>
            <w:vAlign w:val="bottom"/>
          </w:tcPr>
          <w:p>
            <w:pPr>
              <w:spacing w:after="0"/>
              <w:rPr>
                <w:sz w:val="17"/>
                <w:szCs w:val="17"/>
                <w:color w:val="auto"/>
              </w:rPr>
            </w:pPr>
          </w:p>
        </w:tc>
        <w:tc>
          <w:tcPr>
            <w:tcW w:w="1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Point in Time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Over Time   ​​​</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200" w:type="dxa"/>
            <w:vAlign w:val="bottom"/>
          </w:tcPr>
          <w:p>
            <w:pPr>
              <w:spacing w:after="0"/>
              <w:rPr>
                <w:sz w:val="17"/>
                <w:szCs w:val="17"/>
                <w:color w:val="auto"/>
              </w:rPr>
            </w:pPr>
          </w:p>
        </w:tc>
        <w:tc>
          <w:tcPr>
            <w:tcW w:w="11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Point in Time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Over Time   ​​​</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r>
      <w:tr>
        <w:trPr>
          <w:trHeight w:val="196"/>
        </w:trPr>
        <w:tc>
          <w:tcPr>
            <w:tcW w:w="2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Infrastructure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384,699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806,562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1,211,587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1,061,558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2,273,145</w:t>
            </w:r>
          </w:p>
        </w:tc>
      </w:tr>
      <w:tr>
        <w:trPr>
          <w:trHeight w:val="203"/>
        </w:trPr>
        <w:tc>
          <w:tcPr>
            <w:tcW w:w="2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Agriculture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230,178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239,418</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767,881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792,697</w:t>
            </w:r>
          </w:p>
        </w:tc>
      </w:tr>
      <w:tr>
        <w:trPr>
          <w:trHeight w:val="196"/>
        </w:trPr>
        <w:tc>
          <w:tcPr>
            <w:tcW w:w="2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652,041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393,939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1,979,468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1,086,374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3,065,842</w:t>
            </w: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1"/>
          </w:cols>
          <w:pgMar w:left="1319" w:top="418" w:right="1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880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418" w:right="1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Businesses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January 12, 2026, the Company acquired the remaining 80% ownership interest in RMDS Innovation, Inc., a Quebec-based technology company, for total purchase consideration of approximately $15,428, including working capital adjustments. The consideration transferred was denominated in Canadian dollars and translated into U.S. dollars using the spot exchange rate in effect on the acquisition date. The consideration transferred included contingent consideration with an acquisition-date fair value of approximately $2,481, payable in two future earn-out installments based on the achievement of specified performance targets. The contingent consideration is classified as a liability and recorded in “Other non-current liabilities” in the Condensed Consolidated Balance Sheets. In connection with the acquisition, in the first quarter of fiscal 2026, the Company remeasured its previously held equity method investment to fair value as of the acquisition date and recognized a gain of approximately $1,557 within “Other, net” in the Condensed Consolidated Statements of Earnings.</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adjustment within the one-year measurement period as additional information becomes available. Approximately $15,095 of the purchase price has been classified as goodwill, which is not deductible for income tax purposes and is included in the Agriculture segment. The amounts allocated to goodwill were primarily attributable to anticipated synergies and other intangibles that do not qualify for separate recognition, such as an assembled workforce.</w:t>
      </w:r>
    </w:p>
    <w:p>
      <w:pPr>
        <w:spacing w:after="0" w:line="183"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results of this acquisition are included in the Agriculture segment and were not material to the Condensed Consolidated Statements of Earnings for the thirteen and thirty-nine weeks ended September 26, 2026.</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Redeemable Noncontrolling Interests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2025, the Company completed negotiations with the noncontrolling interest holders of Solbras Energia Solar do Brasil S.A. to acquire the remaining 45% ownership interest and entered into a revised shareholder purchase agreement with a final redemption amount of approximately 79,000 Brazilian reais ($14,246 U.S. dollars). Payment of this amount was made in the fourth quarter of fiscal 2025, thereby settling the related redeemable noncontrolling interest. The redemption resulted in an increase to “Retained earnings” of approximately $11,997.</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2025, the Company completed negotiations with the noncontrolling interest holders of ConcealFab, Inc. to acquire the remaining 40% ownership interest outside of the existing redemption rights period. The Company entered into revised shareholder purchase agreements with each minority shareholder for an aggregate purchase price of approximately $81,822. Approximately $72,900 of this amount was paid during the fourth quarter of fiscal 2025 and approximately $8,922 was paid during the first quarter of fiscal 2026.</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2025, following the exercise of put options by the minority shareholders, the Company acquired an additional approximately 30% ownership interest of Valmont Irrigation Argentina B.V. for $14,624.</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transactions involved acquiring additional shares of consolidated subsidiaries without resulting in changes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418" w:right="1359" w:bottom="1440" w:gutter="0" w:footer="0" w:header="0"/>
        </w:sectPr>
      </w:pPr>
    </w:p>
    <w:bookmarkStart w:id="10" w:name="page11"/>
    <w:bookmarkEnd w:id="10"/>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1"/>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jc w:val="both"/>
        <w:ind w:left="1" w:right="120" w:firstLine="648"/>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Cost is determined using either the first-in, first-out method or the weighted average cost method, depending on inventory management practices at each location. As of September 26, 2026 and December 27, 2025, inventories, net of reserves, consisted of the following:</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5"/>
        </w:trPr>
        <w:tc>
          <w:tcPr>
            <w:tcW w:w="5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18"/>
                <w:szCs w:val="18"/>
                <w:color w:val="auto"/>
              </w:rPr>
            </w:pP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364,070</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253,594</w:t>
            </w:r>
          </w:p>
        </w:tc>
      </w:tr>
      <w:tr>
        <w:trPr>
          <w:trHeight w:val="203"/>
        </w:trPr>
        <w:tc>
          <w:tcPr>
            <w:tcW w:w="5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Work in process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36,388</w:t>
            </w:r>
          </w:p>
        </w:tc>
      </w:tr>
      <w:tr>
        <w:trPr>
          <w:trHeight w:val="203"/>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Finished and manufactured goods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298,046</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344,415</w:t>
            </w:r>
          </w:p>
        </w:tc>
      </w:tr>
      <w:tr>
        <w:trPr>
          <w:trHeight w:val="196"/>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 gross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707,796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634,397</w:t>
            </w:r>
          </w:p>
        </w:tc>
      </w:tr>
      <w:tr>
        <w:trPr>
          <w:trHeight w:val="203"/>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Inventory reserve</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62,983</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r>
      <w:tr>
        <w:trPr>
          <w:trHeight w:val="196"/>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 net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644,813</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566,396</w:t>
            </w:r>
          </w:p>
        </w:tc>
      </w:tr>
      <w:tr>
        <w:trPr>
          <w:trHeight w:val="20"/>
        </w:trPr>
        <w:tc>
          <w:tcPr>
            <w:tcW w:w="5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41" w:right="4940" w:hanging="641"/>
        <w:spacing w:after="0" w:line="503" w:lineRule="auto"/>
        <w:tabs>
          <w:tab w:leader="none" w:pos="24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ind w:left="641"/>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26, 2026 and December 27, 2025, the carrying amounts of goodwill by segment were as follows:</w:t>
      </w:r>
    </w:p>
    <w:p>
      <w:pPr>
        <w:spacing w:after="0" w:line="241"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4800" w:type="dxa"/>
            <w:vAlign w:val="bottom"/>
          </w:tcPr>
          <w:p>
            <w:pPr>
              <w:ind w:left="464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42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Agriculture</w:t>
            </w:r>
          </w:p>
        </w:tc>
        <w:tc>
          <w:tcPr>
            <w:tcW w:w="540" w:type="dxa"/>
            <w:vAlign w:val="bottom"/>
            <w:gridSpan w:val="3"/>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8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balance as of December 27, 2025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323,367</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805,205</w:t>
            </w:r>
          </w:p>
        </w:tc>
      </w:tr>
      <w:tr>
        <w:trPr>
          <w:trHeight w:val="203"/>
        </w:trPr>
        <w:tc>
          <w:tcPr>
            <w:tcW w:w="4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(114,251)</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(234,251)</w:t>
            </w:r>
          </w:p>
        </w:tc>
      </w:tr>
      <w:tr>
        <w:trPr>
          <w:trHeight w:val="196"/>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Balance as of December 27, 2025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367,587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203,367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570,954</w:t>
            </w:r>
          </w:p>
        </w:tc>
      </w:tr>
      <w:tr>
        <w:trPr>
          <w:trHeight w:val="203"/>
        </w:trPr>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15,095</w:t>
            </w:r>
          </w:p>
        </w:tc>
      </w:tr>
      <w:tr>
        <w:trPr>
          <w:trHeight w:val="203"/>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r>
      <w:tr>
        <w:trPr>
          <w:trHeight w:val="196"/>
        </w:trPr>
        <w:tc>
          <w:tcPr>
            <w:tcW w:w="4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Balance as of September 26, 2026</w:t>
            </w: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365,801</w:t>
            </w:r>
          </w:p>
        </w:tc>
        <w:tc>
          <w:tcPr>
            <w:tcW w:w="280" w:type="dxa"/>
            <w:vAlign w:val="bottom"/>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218,925</w:t>
            </w:r>
          </w:p>
        </w:tc>
        <w:tc>
          <w:tcPr>
            <w:tcW w:w="280" w:type="dxa"/>
            <w:vAlign w:val="bottom"/>
            <w:gridSpan w:val="2"/>
          </w:tcPr>
          <w:p>
            <w:pPr>
              <w:spacing w:after="0"/>
              <w:rPr>
                <w:sz w:val="17"/>
                <w:szCs w:val="17"/>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584,726</w:t>
            </w:r>
          </w:p>
        </w:tc>
      </w:tr>
      <w:tr>
        <w:trPr>
          <w:trHeight w:val="20"/>
        </w:trPr>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42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Agriculture</w:t>
            </w:r>
          </w:p>
        </w:tc>
        <w:tc>
          <w:tcPr>
            <w:tcW w:w="5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balance as of September 26,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480,052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338,925</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818,977</w:t>
            </w:r>
          </w:p>
        </w:tc>
      </w:tr>
      <w:tr>
        <w:trPr>
          <w:trHeight w:val="203"/>
        </w:trPr>
        <w:tc>
          <w:tcPr>
            <w:tcW w:w="4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(114,251)</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(234,251)</w:t>
            </w:r>
          </w:p>
        </w:tc>
      </w:tr>
      <w:tr>
        <w:trPr>
          <w:trHeight w:val="196"/>
        </w:trPr>
        <w:tc>
          <w:tcPr>
            <w:tcW w:w="4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Balance as of September 26,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365,801</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218,925</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584,726</w:t>
            </w:r>
          </w:p>
        </w:tc>
      </w:tr>
      <w:tr>
        <w:trPr>
          <w:trHeight w:val="20"/>
        </w:trPr>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 w:right="80" w:firstLine="648"/>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2026, the Company performed its annual goodwill impairment assessment utilizing a quantitative test on all of its reporting units using a measurement date of August 29, 2026. The fair values of the reporting units were estimated using a discounted cash flow analysis, which required the Company to estimate the future cash flows as well as select a risk-adjusted discount rate to measure the present value of the anticipated cash flows. The estimated fair value of all reporting units with recorded goodwill exceeded their respective carrying values and no impairments were recorded.</w:t>
      </w:r>
    </w:p>
    <w:p>
      <w:pPr>
        <w:spacing w:after="0" w:line="183" w:lineRule="exact"/>
        <w:rPr>
          <w:sz w:val="20"/>
          <w:szCs w:val="20"/>
          <w:color w:val="auto"/>
        </w:rPr>
      </w:pPr>
    </w:p>
    <w:p>
      <w:pPr>
        <w:ind w:left="1" w:right="60"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fiscal 2025, the Company identified triggering events that required interim goodwill impairment testing for certain reporting units within the Infrastructure segment. Due to the Company’s strategic exit from the North American solar tracker market, increased competitive pressures in Brazil, and uncertainty surrounding European policies, an interim goodwill impairment test was conducted for the Solar reporting unit. The carrying amount of this reporting unit exceeded its estimated fair value, resulting in a goodwill impairment charge of $41,869 within the Infrastructure segment.</w:t>
      </w:r>
    </w:p>
    <w:p>
      <w:pPr>
        <w:spacing w:after="0" w:line="183" w:lineRule="exact"/>
        <w:rPr>
          <w:sz w:val="20"/>
          <w:szCs w:val="20"/>
          <w:color w:val="auto"/>
        </w:rPr>
      </w:pPr>
    </w:p>
    <w:p>
      <w:pPr>
        <w:ind w:left="1" w:right="360" w:firstLine="648"/>
        <w:spacing w:after="0" w:line="261" w:lineRule="auto"/>
        <w:rPr>
          <w:sz w:val="20"/>
          <w:szCs w:val="20"/>
          <w:color w:val="auto"/>
        </w:rPr>
      </w:pPr>
      <w:r>
        <w:rPr>
          <w:rFonts w:ascii="Times New Roman" w:cs="Times New Roman" w:eastAsia="Times New Roman" w:hAnsi="Times New Roman"/>
          <w:sz w:val="18"/>
          <w:szCs w:val="18"/>
          <w:color w:val="auto"/>
        </w:rPr>
        <w:t>Additionally, in the second quarter of fiscal 2025, due to a reduction in forecasted sales primarily resulting from general market weakness in Australia, an interim goodwill impairment test was also performed for the Access Systems reporting unit. The carrying amount exceeded its estimated fair value, resulting in a goodwill impairment charge of $23,000 within the Infrastructure segment.</w:t>
      </w:r>
    </w:p>
    <w:p>
      <w:pPr>
        <w:sectPr>
          <w:pgSz w:w="11900" w:h="16838" w:orient="portrait"/>
          <w:cols w:equalWidth="0" w:num="1">
            <w:col w:w="9261"/>
          </w:cols>
          <w:pgMar w:left="1319" w:top="418"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880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1"/>
          </w:cols>
          <w:pgMar w:left="1319" w:top="418" w:right="13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September 26, 2026 and December 27, 2025, the components of other intangible assets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26, 2026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December 27, 2025</w:t>
            </w:r>
          </w:p>
        </w:tc>
      </w:tr>
      <w:tr>
        <w:trPr>
          <w:trHeight w:val="183"/>
        </w:trPr>
        <w:tc>
          <w:tcPr>
            <w:tcW w:w="3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3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5"/>
        </w:trPr>
        <w:tc>
          <w:tcPr>
            <w:tcW w:w="3240" w:type="dxa"/>
            <w:vAlign w:val="bottom"/>
          </w:tcPr>
          <w:p>
            <w:pPr>
              <w:spacing w:after="0"/>
              <w:rPr>
                <w:sz w:val="18"/>
                <w:szCs w:val="18"/>
                <w:color w:val="auto"/>
              </w:rPr>
            </w:pP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199"/>
        </w:trPr>
        <w:tc>
          <w:tcPr>
            <w:tcW w:w="3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171,406</w:t>
            </w: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165,514</w:t>
            </w:r>
          </w:p>
        </w:tc>
      </w:tr>
      <w:tr>
        <w:trPr>
          <w:trHeight w:val="203"/>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Patents and proprietary technology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r>
      <w:tr>
        <w:trPr>
          <w:trHeight w:val="20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Non-amortizing intangible assets: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Trade names</w:t>
            </w: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51,282</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55,412</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303,812</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189,409</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182,482</w:t>
            </w:r>
          </w:p>
        </w:tc>
      </w:tr>
      <w:tr>
        <w:trPr>
          <w:trHeight w:val="20"/>
        </w:trPr>
        <w:tc>
          <w:tcPr>
            <w:tcW w:w="3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remaining useful life of amortizing intangible assets is approximately seven years. Amortization expense was $2,674 and $8,051 for the thirteen and thirty-nine weeks ended September 26, 2026, respectively, and $2,788 and $8,628 for the thirteen and thirty-nine weeks ended September 27, 2025, respectively. Amortization expense is expected to average $9,000 annually over the next five fiscal years, based on amortizing intangible assets reported as of September 26, 2026.</w:t>
      </w:r>
    </w:p>
    <w:p>
      <w:pPr>
        <w:spacing w:after="0" w:line="183"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Company’s indefinite-lived trade names were tested for impairment as of August 29, 2026. The fair value of each trade name was determined using the relief-from-royalty method. Based on this evaluation, no impairment was identified.</w:t>
      </w:r>
    </w:p>
    <w:p>
      <w:pPr>
        <w:spacing w:after="0" w:line="14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performed an impairment test on indefinite-lived trade names associated with the Solar and Access Systems reporting units. Using the relief-from-royalty method, the Company determined that the carrying amounts of the trade names exceeded their estimated fair values. As a result, impairment charges of $4,830 were recognized within the Infrastructure segment.</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Additionally, in the second quarter of fiscal 2025, an impairment charge of $1,395 was recognized within the Agriculture segment for a customer relationship intangible asset that was determined not to be recoverable.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FINANCIAL INSTRUMENTS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fair value of derivative instruments as of September 26, 2026 and December 27, 2025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0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Condensed Consolidated</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5"/>
        </w:trPr>
        <w:tc>
          <w:tcPr>
            <w:tcW w:w="3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w:t>
            </w:r>
          </w:p>
        </w:tc>
        <w:tc>
          <w:tcPr>
            <w:tcW w:w="30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Balance Sheets location</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3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Commodity contracts</w:t>
            </w:r>
          </w:p>
        </w:tc>
        <w:tc>
          <w:tcPr>
            <w:tcW w:w="28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Commodity contracts</w:t>
            </w: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accrued expenses</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3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2"/>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3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accrued expenses</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660" w:type="dxa"/>
            <w:vAlign w:val="bottom"/>
            <w:tcBorders>
              <w:top w:val="single" w:sz="8" w:color="CCEEFF"/>
              <w:bottom w:val="single" w:sz="8" w:color="CCEEFF"/>
            </w:tcBorders>
            <w:shd w:val="clear" w:color="auto" w:fill="CCEEFF"/>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r>
      <w:tr>
        <w:trPr>
          <w:trHeight w:val="20"/>
        </w:trPr>
        <w:tc>
          <w:tcPr>
            <w:tcW w:w="3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418" w:right="1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Gains (losses) on derivatives recognized in the Condensed Consolidated Statements of Earnings for the thirteen and thirty-nine weeks ended September 26, 2026 and September 27, 2025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80" w:type="dxa"/>
            <w:vAlign w:val="bottom"/>
            <w:gridSpan w:val="2"/>
          </w:tcPr>
          <w:p>
            <w:pPr>
              <w:ind w:left="2420"/>
              <w:spacing w:after="0"/>
              <w:rPr>
                <w:sz w:val="20"/>
                <w:szCs w:val="20"/>
                <w:color w:val="auto"/>
              </w:rPr>
            </w:pPr>
            <w:r>
              <w:rPr>
                <w:rFonts w:ascii="Times New Roman" w:cs="Times New Roman" w:eastAsia="Times New Roman" w:hAnsi="Times New Roman"/>
                <w:sz w:val="16"/>
                <w:szCs w:val="16"/>
                <w:b w:val="1"/>
                <w:bCs w:val="1"/>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Derivatives designated</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8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hedging instruments:</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 location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2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Commodity contracts</w:t>
            </w:r>
          </w:p>
        </w:tc>
        <w:tc>
          <w:tcPr>
            <w:tcW w:w="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Product/service cost of sales</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3"/>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hedge amortization</w:t>
            </w:r>
          </w:p>
        </w:tc>
        <w:tc>
          <w:tcPr>
            <w:tcW w:w="1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Cross-currency swap contracts</w:t>
            </w: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196"/>
        </w:trPr>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80" w:type="dxa"/>
            <w:vAlign w:val="bottom"/>
            <w:gridSpan w:val="2"/>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commodity forward, swap, and option contracts to hedge variability in cash flows related to future purchases. Gains (losses) realized upon settlement are recorded in “Product cost of sales” or “Service cost of sales”, as applicable, in the Condensed Consolidated Statements of Earnings in the period in which the hedged items are consumed. As of September 26, 2026, the details of these contracts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380" w:type="dxa"/>
            <w:vAlign w:val="bottom"/>
          </w:tcPr>
          <w:p>
            <w:pPr>
              <w:spacing w:after="0"/>
              <w:rPr>
                <w:sz w:val="17"/>
                <w:szCs w:val="17"/>
                <w:color w:val="auto"/>
              </w:rPr>
            </w:pPr>
          </w:p>
        </w:tc>
      </w:tr>
      <w:tr>
        <w:trPr>
          <w:trHeight w:val="215"/>
        </w:trPr>
        <w:tc>
          <w:tcPr>
            <w:tcW w:w="342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Commodity Type</w:t>
            </w: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 Quantity</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Dates</w:t>
            </w:r>
          </w:p>
        </w:tc>
      </w:tr>
      <w:tr>
        <w:trPr>
          <w:trHeight w:val="199"/>
        </w:trPr>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Hot-rolled coil steel</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41,045</w:t>
            </w: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37,000 short tons</w:t>
            </w:r>
          </w:p>
        </w:tc>
        <w:tc>
          <w:tcPr>
            <w:tcW w:w="2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2026 to November 2027</w:t>
            </w:r>
          </w:p>
        </w:tc>
      </w:tr>
      <w:tr>
        <w:trPr>
          <w:trHeight w:val="203"/>
        </w:trPr>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Natural gas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28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370,000 MMBtu</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 to March 2028</w:t>
            </w:r>
          </w:p>
        </w:tc>
      </w:tr>
      <w:tr>
        <w:trPr>
          <w:trHeight w:val="203"/>
        </w:trPr>
        <w:tc>
          <w:tcPr>
            <w:tcW w:w="3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Ultra-low-sulfur diesel fuel</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9"/>
              </w:rPr>
              <w:t>1,764,000 gallons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2026 to June 2027</w:t>
            </w:r>
          </w:p>
        </w:tc>
      </w:tr>
      <w:tr>
        <w:trPr>
          <w:trHeight w:val="210"/>
        </w:trPr>
        <w:tc>
          <w:tcPr>
            <w:tcW w:w="3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Zinc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28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1,920 metric tons</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2026 to December 2027</w:t>
            </w:r>
          </w:p>
        </w:tc>
      </w:tr>
    </w:tbl>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40" w:firstLine="648"/>
        <w:spacing w:after="0" w:line="220" w:lineRule="exact"/>
        <w:rPr>
          <w:sz w:val="20"/>
          <w:szCs w:val="20"/>
          <w:color w:val="auto"/>
        </w:rPr>
      </w:pPr>
      <w:r>
        <w:rPr>
          <w:rFonts w:ascii="Times New Roman" w:cs="Times New Roman" w:eastAsia="Times New Roman" w:hAnsi="Times New Roman"/>
          <w:sz w:val="18"/>
          <w:szCs w:val="18"/>
          <w:color w:val="auto"/>
        </w:rPr>
        <w:t>To manage foreign currency risk associated with its foreign currency investments and reduce interest expenses, the Company uses fixed-for-fixed cross-currency swaps (“CCS”). These swaps convert U.S. dollar-denominated principal and interest payments on a portion of its 5.00% senior unsecured notes due in 2044 into foreign-currency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payments. Interest payments are exchanged biannually on April 1 and October 1.</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designated the full notional amounts of its CCS as net investment hedges for certain subsidiaries under the spot method. Changes in fair value of the CCS attributable to spot exchange rates are recorded as cumulative foreign currency translation within accumulated other comprehensive loss, while net interest receipts reduce interest expense over the life of the CCS. Key terms as of September 26, 2026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Swapped</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Settlement</w:t>
            </w:r>
          </w:p>
        </w:tc>
      </w:tr>
      <w:tr>
        <w:trPr>
          <w:trHeight w:val="215"/>
        </w:trPr>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Termination Date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1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Canadian dollar</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1, 2028</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4.0900%</w:t>
            </w: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54,776</w:t>
            </w:r>
          </w:p>
        </w:tc>
      </w:tr>
      <w:tr>
        <w:trPr>
          <w:trHeight w:val="203"/>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Chinese renminbi</w:t>
            </w:r>
          </w:p>
        </w:tc>
        <w:tc>
          <w:tcPr>
            <w:tcW w:w="28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8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October 1, 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3.1125%</w:t>
            </w: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RMB</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215,640</w:t>
            </w:r>
          </w:p>
        </w:tc>
      </w:tr>
      <w:tr>
        <w:trPr>
          <w:trHeight w:val="203"/>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Euro</w:t>
            </w:r>
          </w:p>
        </w:tc>
        <w:tc>
          <w:tcPr>
            <w:tcW w:w="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2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rPr>
              <w:t>April 1, 2029</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3.4610%</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74,509</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carrying values and fair value measurements of the Company’s financial assets and liabilities measured at fair value on a recurring basis as of September 26, 2026 and December 27, 2025:</w:t>
      </w:r>
    </w:p>
    <w:p>
      <w:pPr>
        <w:sectPr>
          <w:pgSz w:w="11900" w:h="16838" w:orient="portrait"/>
          <w:cols w:equalWidth="0" w:num="1">
            <w:col w:w="9260"/>
          </w:cols>
          <w:pgMar w:left="1320" w:top="418" w:right="13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Deferred compensation investments</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Derivative financial instruments, net</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Cash and cash equivalents—mutual funds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840" w:type="dxa"/>
            <w:vAlign w:val="bottom"/>
            <w:tcBorders>
              <w:bottom w:val="single" w:sz="8" w:color="auto"/>
            </w:tcBorders>
          </w:tcPr>
          <w:p>
            <w:pPr>
              <w:spacing w:after="0"/>
              <w:rPr>
                <w:sz w:val="18"/>
                <w:szCs w:val="18"/>
                <w:color w:val="auto"/>
              </w:rPr>
            </w:pPr>
          </w:p>
        </w:tc>
      </w:tr>
      <w:tr>
        <w:trPr>
          <w:trHeight w:val="202"/>
        </w:trPr>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26, 2026</w:t>
            </w:r>
          </w:p>
        </w:tc>
        <w:tc>
          <w:tcPr>
            <w:tcW w:w="22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82"/>
        </w:trPr>
        <w:tc>
          <w:tcPr>
            <w:tcW w:w="1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30,985</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30,985</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340" w:type="dxa"/>
            <w:vAlign w:val="bottom"/>
            <w:tcBorders>
              <w:top w:val="single" w:sz="8" w:color="auto"/>
            </w:tcBorders>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64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-389890</wp:posOffset>
            </wp:positionV>
            <wp:extent cx="587184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-123825</wp:posOffset>
            </wp:positionV>
            <wp:extent cx="587184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5640"/>
          </w:cols>
          <w:pgMar w:left="1320" w:top="418" w:right="131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418" w:right="13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840" w:type="dxa"/>
            <w:vAlign w:val="bottom"/>
            <w:tcBorders>
              <w:bottom w:val="single" w:sz="8" w:color="auto"/>
            </w:tcBorders>
          </w:tcPr>
          <w:p>
            <w:pPr>
              <w:spacing w:after="0"/>
              <w:rPr>
                <w:sz w:val="18"/>
                <w:szCs w:val="18"/>
                <w:color w:val="auto"/>
              </w:rPr>
            </w:pPr>
          </w:p>
        </w:tc>
      </w:tr>
      <w:tr>
        <w:trPr>
          <w:trHeight w:val="202"/>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22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6"/>
        </w:trPr>
        <w:tc>
          <w:tcPr>
            <w:tcW w:w="3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Derivative financial instruments, net</w:t>
            </w:r>
          </w:p>
        </w:tc>
        <w:tc>
          <w:tcPr>
            <w:tcW w:w="8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(6,504)</w:t>
            </w:r>
          </w:p>
        </w:tc>
        <w:tc>
          <w:tcPr>
            <w:tcW w:w="2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(6,504)</w:t>
            </w:r>
          </w:p>
        </w:tc>
        <w:tc>
          <w:tcPr>
            <w:tcW w:w="34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equivalents—mutual funds</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fair value redemption amounts of certain redeemable noncontrolling interests are measured on a recurring basis utilizing Level 3 inputs, including estimates of future revenue, operating margins, growth rates, and discount rates. Goodwill and other intangible assets are measured at fair value on a non-recurring basis using Level 3 inputs. Unless otherwise specified, the Company believes the carrying values of financial instruments approximate their fair values.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2025, the carrying values of certain long-lived assets that will no longer be utilized were reduced to their respective fair values, based on Level 3 inputs, resulting in impairment charges totaling $19,657 in the Infrastructure segment and $586 in the Agriculture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EARNINGS PER SHARE</w:t>
      </w:r>
    </w:p>
    <w:p>
      <w:pPr>
        <w:spacing w:after="0" w:line="229"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between the net earnings attributable to Valmont Industries, Inc. and the weighted average share amounts used to compute both basic and diluted earnings 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416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 w:type="dxa"/>
            <w:vAlign w:val="bottom"/>
          </w:tcPr>
          <w:p>
            <w:pPr>
              <w:spacing w:after="0"/>
              <w:rPr>
                <w:sz w:val="16"/>
                <w:szCs w:val="16"/>
                <w:color w:val="auto"/>
              </w:rPr>
            </w:pPr>
          </w:p>
        </w:tc>
      </w:tr>
      <w:tr>
        <w:trPr>
          <w:trHeight w:val="215"/>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199"/>
        </w:trPr>
        <w:tc>
          <w:tcPr>
            <w:tcW w:w="4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Net earnings attributable to Valmont Industries, Inc.</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 attributable to Valmont Industries, Inc.</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121,053</w:t>
            </w:r>
          </w:p>
        </w:tc>
        <w:tc>
          <w:tcPr>
            <w:tcW w:w="6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99,031</w:t>
            </w:r>
          </w:p>
        </w:tc>
        <w:tc>
          <w:tcPr>
            <w:tcW w:w="60" w:type="dxa"/>
            <w:vAlign w:val="bottom"/>
          </w:tcPr>
          <w:p>
            <w:pPr>
              <w:spacing w:after="0"/>
              <w:rPr>
                <w:sz w:val="17"/>
                <w:szCs w:val="17"/>
                <w:color w:val="auto"/>
              </w:rPr>
            </w:pP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349,004</w:t>
            </w:r>
          </w:p>
        </w:tc>
        <w:tc>
          <w:tcPr>
            <w:tcW w:w="6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182,272</w:t>
            </w:r>
          </w:p>
        </w:tc>
        <w:tc>
          <w:tcPr>
            <w:tcW w:w="20" w:type="dxa"/>
            <w:vAlign w:val="bottom"/>
          </w:tcPr>
          <w:p>
            <w:pPr>
              <w:spacing w:after="0"/>
              <w:rPr>
                <w:sz w:val="17"/>
                <w:szCs w:val="17"/>
                <w:color w:val="auto"/>
              </w:rPr>
            </w:pPr>
          </w:p>
        </w:tc>
      </w:tr>
      <w:tr>
        <w:trPr>
          <w:trHeight w:val="18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20" w:type="dxa"/>
            <w:vAlign w:val="bottom"/>
          </w:tcPr>
          <w:p>
            <w:pPr>
              <w:spacing w:after="0"/>
              <w:rPr>
                <w:sz w:val="18"/>
                <w:szCs w:val="18"/>
                <w:color w:val="auto"/>
              </w:rPr>
            </w:pPr>
          </w:p>
        </w:tc>
      </w:tr>
      <w:tr>
        <w:trPr>
          <w:trHeight w:val="169"/>
        </w:trPr>
        <w:tc>
          <w:tcPr>
            <w:tcW w:w="416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earnings attributable to Valmont Industries, Inc.</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including change in redemption value of redeemable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121,053</w:t>
            </w:r>
          </w:p>
        </w:tc>
        <w:tc>
          <w:tcPr>
            <w:tcW w:w="60" w:type="dxa"/>
            <w:vAlign w:val="bottom"/>
          </w:tcPr>
          <w:p>
            <w:pPr>
              <w:spacing w:after="0"/>
              <w:rPr>
                <w:sz w:val="18"/>
                <w:szCs w:val="18"/>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99,031</w:t>
            </w:r>
          </w:p>
        </w:tc>
        <w:tc>
          <w:tcPr>
            <w:tcW w:w="60" w:type="dxa"/>
            <w:vAlign w:val="bottom"/>
          </w:tcPr>
          <w:p>
            <w:pPr>
              <w:spacing w:after="0"/>
              <w:rPr>
                <w:sz w:val="18"/>
                <w:szCs w:val="18"/>
                <w:color w:val="auto"/>
              </w:rPr>
            </w:pP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349,004</w:t>
            </w:r>
          </w:p>
        </w:tc>
        <w:tc>
          <w:tcPr>
            <w:tcW w:w="60" w:type="dxa"/>
            <w:vAlign w:val="bottom"/>
          </w:tcPr>
          <w:p>
            <w:pPr>
              <w:spacing w:after="0"/>
              <w:rPr>
                <w:sz w:val="18"/>
                <w:szCs w:val="18"/>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156,029</w:t>
            </w:r>
          </w:p>
        </w:tc>
        <w:tc>
          <w:tcPr>
            <w:tcW w:w="20" w:type="dxa"/>
            <w:vAlign w:val="bottom"/>
          </w:tcPr>
          <w:p>
            <w:pPr>
              <w:spacing w:after="0"/>
              <w:rPr>
                <w:sz w:val="18"/>
                <w:szCs w:val="18"/>
                <w:color w:val="auto"/>
              </w:rPr>
            </w:pPr>
          </w:p>
        </w:tc>
      </w:tr>
      <w:tr>
        <w:trPr>
          <w:trHeight w:val="205"/>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(in thousands):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20" w:type="dxa"/>
            <w:vAlign w:val="bottom"/>
          </w:tcPr>
          <w:p>
            <w:pPr>
              <w:spacing w:after="0"/>
              <w:rPr>
                <w:sz w:val="17"/>
                <w:szCs w:val="17"/>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Dilutive effect of various stock awards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 w:type="dxa"/>
            <w:vAlign w:val="bottom"/>
          </w:tcPr>
          <w:p>
            <w:pPr>
              <w:spacing w:after="0"/>
              <w:rPr>
                <w:sz w:val="17"/>
                <w:szCs w:val="17"/>
                <w:color w:val="auto"/>
              </w:rPr>
            </w:pPr>
          </w:p>
        </w:tc>
      </w:tr>
      <w:tr>
        <w:trPr>
          <w:trHeight w:val="236"/>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19,391</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19,516</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20,001</w:t>
            </w:r>
          </w:p>
        </w:tc>
        <w:tc>
          <w:tcPr>
            <w:tcW w:w="20" w:type="dxa"/>
            <w:vAlign w:val="bottom"/>
          </w:tcPr>
          <w:p>
            <w:pPr>
              <w:spacing w:after="0"/>
              <w:rPr>
                <w:sz w:val="20"/>
                <w:szCs w:val="20"/>
                <w:color w:val="auto"/>
              </w:rPr>
            </w:pPr>
          </w:p>
        </w:tc>
      </w:tr>
      <w:tr>
        <w:trPr>
          <w:trHeight w:val="140"/>
        </w:trPr>
        <w:tc>
          <w:tcPr>
            <w:tcW w:w="416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6"/>
                <w:szCs w:val="16"/>
                <w:b w:val="1"/>
                <w:bCs w:val="1"/>
                <w:color w:val="auto"/>
              </w:rPr>
              <w:t>Net earnings attributable to Valmont Industries, Inc.</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8"/>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6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0" w:type="dxa"/>
            <w:vAlign w:val="bottom"/>
          </w:tcPr>
          <w:p>
            <w:pPr>
              <w:spacing w:after="0"/>
              <w:rPr>
                <w:sz w:val="17"/>
                <w:szCs w:val="17"/>
                <w:color w:val="auto"/>
              </w:rPr>
            </w:pP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6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7"/>
                <w:szCs w:val="17"/>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Dilutive effect of various stock awards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 w:type="dxa"/>
            <w:vAlign w:val="bottom"/>
          </w:tcPr>
          <w:p>
            <w:pPr>
              <w:spacing w:after="0"/>
              <w:rPr>
                <w:sz w:val="17"/>
                <w:szCs w:val="17"/>
                <w:color w:val="auto"/>
              </w:rPr>
            </w:pPr>
          </w:p>
        </w:tc>
      </w:tr>
      <w:tr>
        <w:trPr>
          <w:trHeight w:val="19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outstanding stock options excluded from the computation of diluted earnings per share as anti-dilutive for the thirteen and thirty-nine weeks ended September 26, 2026 and September 27,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$41,821 and $120,925 for the thirteen and thirty-nine weeks ended September 26, 2026, respectively, and recorded income tax expense of $30,424 and $83,503 for the thirteen and thirty-nine weeks ended September 27, 2025.</w:t>
      </w:r>
    </w:p>
    <w:p>
      <w:pPr>
        <w:spacing w:after="0" w:line="176"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The Company’s effective income tax rate was 25.6% and 25.7% for the thirteen and thirty-nine weeks ended September 26, 2026, respectively, compared to 23.1% and 31.1% for the thirteen and thirty-nine weeks ended September 27, 2025. The thirty-nine weeks ended September 27, 2025 included $64,869 of goodwill impairments that had no associated tax benefit as they were non-deductible for income tax purposes. See Note 5 for further information on goodwill impairments.</w:t>
      </w:r>
    </w:p>
    <w:p>
      <w:pPr>
        <w:sectPr>
          <w:pgSz w:w="11900" w:h="16838" w:orient="portrait"/>
          <w:cols w:equalWidth="0" w:num="1">
            <w:col w:w="9240"/>
          </w:cols>
          <w:pgMar w:left="1320" w:top="418"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418" w:right="1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2025, the Company completed a legal entity reorganization that resulted in a deemed liquidation of the former Prospera business. In connection with this restructuring, the Prospera shares were determined to be worthless under Internal Revenue Code Section 165(g)(1), resulting in the recognition of a federal income tax benefit of approximately $66,094.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thirteen and thirty-nine weeks ended September 26, 2026 and September 27, 2025, stock-based compensation expense (primarily included in “Selling, general, and administrative expenses” in the Condensed Consolidated Statements of Earnings) and associated income tax benefits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3"/>
        </w:trPr>
        <w:tc>
          <w:tcPr>
            <w:tcW w:w="41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4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w:t>
            </w:r>
          </w:p>
        </w:tc>
      </w:tr>
      <w:tr>
        <w:trPr>
          <w:trHeight w:val="210"/>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r>
    </w:tbl>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September 26, 2026, the Company granted 532 restricted stock units at a weighted average grant date price of $482.41 per share unit and 1,204 performance stock units at a weighted average grant date price of $474.87 per share unit. For the thirty-nine weeks ended September 26, 2026, the Company granted 8,337 restricted stock units at a weighted average grant date price of $458.46 per share unit and 22,189 performance stock units at a weighted average grant date price of $451.06 per share unit.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(LOSS)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26, 2026 and December 27, 2025, the components of accumulated other comprehensive loss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5"/>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gridSpan w:val="3"/>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(234,993)</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(248,741)</w:t>
            </w:r>
          </w:p>
        </w:tc>
      </w:tr>
      <w:tr>
        <w:trPr>
          <w:trHeight w:val="203"/>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Hedging activities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15,405</w:t>
            </w:r>
          </w:p>
        </w:tc>
      </w:tr>
      <w:tr>
        <w:trPr>
          <w:trHeight w:val="20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Defined benefit pension plan</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(57,179)</w:t>
            </w:r>
          </w:p>
        </w:tc>
      </w:tr>
      <w:tr>
        <w:trPr>
          <w:trHeight w:val="196"/>
        </w:trPr>
        <w:tc>
          <w:tcPr>
            <w:tcW w:w="5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(281,541)</w:t>
            </w:r>
          </w:p>
        </w:tc>
        <w:tc>
          <w:tcPr>
            <w:tcW w:w="340" w:type="dxa"/>
            <w:vAlign w:val="bottom"/>
            <w:gridSpan w:val="2"/>
          </w:tcPr>
          <w:p>
            <w:pPr>
              <w:spacing w:after="0"/>
              <w:rPr>
                <w:sz w:val="17"/>
                <w:szCs w:val="17"/>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(290,515)</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REPURCHASES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share repurchase program with a total authorization of $2,100,000. During the thirteen weeks ended September 26, 2026, the Company repurchased 171,271 shares for $84,021. During the thirty-nine weeks ended September 26, 2026, the Company repurchased 421,187 shares for $200,565. As of September 26, 2026, the Company had repurchased approximately 9.3 million shares for $1,733,460 since the program's inception and had $366,540 of remaining capacity under the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SUPPLIER FINANCE PROGRAM</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September 26, 2026 and December 27, 2025, outstanding payment obligations under the Company’s supplier finance program, included in “Accounts payable” in the Condensed Consolidated Balance Sheets, were $61,522 and $56,324, respectively.</w:t>
      </w:r>
    </w:p>
    <w:p>
      <w:pPr>
        <w:sectPr>
          <w:pgSz w:w="11900" w:h="16838" w:orient="portrait"/>
          <w:cols w:equalWidth="0" w:num="1">
            <w:col w:w="9260"/>
          </w:cols>
          <w:pgMar w:left="1320" w:top="418"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418" w:right="1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CONTINGENCIES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is party to certain legal proceedings and claims arising in the normal course of business.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Brazil Litigation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involved in several litigation matters in Brazil related to its operations in the Agriculture market. During the fourth quarter of fiscal 2025, the Company received an unfavorable ruling in the Brazilian appellate court system. In the first quarter of fiscal 2026, the Company entered into a settlement agreement with the plaintiff for approximately 105,000 Brazilian reais (approximately $20,271 U.S. dollars). This settlement amount, as well as the related attorney’s fees, was paid in full during the second and third quarters of fiscal 2026. The settlement amount was materially consistent with the estimate made as of December 27, 2025.</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September 26, 2026, the Company had no amounts accrued related to these matters. As of December 27, 2025, the Company had accrued approximately $24,165 related to these matters, which was included in “Other accrued expenses” in the Condensed Consolidated Balance Sheets.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Customs and Border Protection Inquiry</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During the first three quarters of fiscal 2026, the Company received multiple inquiries from U.S. Customs and Border Protection (“CBP”) related to the valuation methodology applied to steel tariffs from Mexico into the U.S. While certain inquiries remain pending, the Company has received responses from CBP with respect to certain import entries. Those responses have reflected different conclusions regarding the application of Section 232 tariffs to particular entries. The Company continues to evaluate these matters and respond to CBP inquiries in the ordinary course of business. Based on management's assessment of the facts and circumstances currently available, including its understanding of applicable CBP guidance, management does not believe these matters are reasonably likely to have a material impact on the Company's consolidated financial statements.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Section 232 Tariff Modifications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 ad valorem rate applicable to products in which at least 95% of steel content was melted and poured in the U.S. Products that do not meet these requirements are subject to higher tariff rates, including up to 50% on full value. On June 1, 2026, a subsequent proclamation further adjusted the tariff framework by lowering the U.S.-content threshold for preferential rate eligibility from 95% to 85%.</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continuously assesses the full scope of affected products and the prospective financial impact on its results of operations and financial condition. At this time, the Company believes that the majority of its steel poles produced in Mexico will be subject to a 10% tariff rate.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IEEPA Tariff Refunds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2026, the Company received $7,343 of refunds related to previously paid tariffs imposed under the International Emergency Economic Powers Act (“IEEPA”). The refunds were recorded primarily within cost of sales, consistent with the classification of the underlying tariffs and related costs.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continuously monitors developments in these matters and will adjust its accruals if and when additional information becomes available or circumstances change. At this time, the Company does not expect that any known lawsuits, claims, environmental costs, commitments, or contingent liabilities will have a material adverse effect on its consolidated results of operations, financial condition, or liquidity.</w:t>
      </w:r>
    </w:p>
    <w:p>
      <w:pPr>
        <w:sectPr>
          <w:pgSz w:w="11900" w:h="16838" w:orient="portrait"/>
          <w:cols w:equalWidth="0" w:num="1">
            <w:col w:w="9240"/>
          </w:cols>
          <w:pgMar w:left="1320" w:top="418"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18" w:right="1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SEGMENTS AND RELATED REVENUE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the President and Chief Executive Officer. The CODM uses operating income as the profit measure to evaluate segment performance and allocate resources across segments. The CODM also uses operating income as an input to the overall compensation measures under the Company’s incentive compensation plans. Segment selling, general, and administrative expenses include certain corporate expense allocations, typically based on employee headcounts and sales volumes. For segment reporting purposes, the Company excludes unallocated corporate general and administrative expenses, interest expenses, non-operating income and deductions, and income taxes from operating income.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reportable segments are as follows:</w:t>
      </w:r>
    </w:p>
    <w:p>
      <w:pPr>
        <w:spacing w:after="0" w:line="223"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Infrastructure</w:t>
      </w:r>
      <w:r>
        <w:rPr>
          <w:rFonts w:ascii="Times New Roman" w:cs="Times New Roman" w:eastAsia="Times New Roman" w:hAnsi="Times New Roman"/>
          <w:sz w:val="18"/>
          <w:szCs w:val="18"/>
          <w:color w:val="auto"/>
        </w:rPr>
        <w:t>: This segment consists of the manufacture and distribution of products and solutions to serve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markets of utility, lighting, transportation, and telecommunications, along with coatings services to protect metal products.</w:t>
      </w:r>
    </w:p>
    <w:p>
      <w:pPr>
        <w:spacing w:after="0" w:line="17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Agriculture</w:t>
      </w:r>
      <w:r>
        <w:rPr>
          <w:rFonts w:ascii="Times New Roman" w:cs="Times New Roman" w:eastAsia="Times New Roman" w:hAnsi="Times New Roman"/>
          <w:sz w:val="18"/>
          <w:szCs w:val="18"/>
          <w:color w:val="auto"/>
        </w:rPr>
        <w:t>: This segment consists of the manufacture of center pivot and linear irrigation equipment components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agricultural markets, including aftermarket parts and tubular products, and advanced technology solutions for precision agriculture.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Summary by Business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46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300" w:type="dxa"/>
            <w:vAlign w:val="bottom"/>
            <w:gridSpan w:val="10"/>
          </w:tcPr>
          <w:p>
            <w:pPr>
              <w:ind w:left="620"/>
              <w:spacing w:after="0"/>
              <w:rPr>
                <w:sz w:val="20"/>
                <w:szCs w:val="20"/>
                <w:color w:val="auto"/>
              </w:rPr>
            </w:pPr>
            <w:r>
              <w:rPr>
                <w:rFonts w:ascii="Times New Roman" w:cs="Times New Roman" w:eastAsia="Times New Roman" w:hAnsi="Times New Roman"/>
                <w:sz w:val="16"/>
                <w:szCs w:val="16"/>
                <w:b w:val="1"/>
                <w:bCs w:val="1"/>
                <w:color w:val="auto"/>
              </w:rPr>
              <w:t>Thirteen weeks ended September 26, 2026</w:t>
            </w:r>
          </w:p>
        </w:tc>
      </w:tr>
      <w:tr>
        <w:trPr>
          <w:trHeight w:val="202"/>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40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882,089</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225,997</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1,108,086</w:t>
            </w:r>
          </w:p>
        </w:tc>
        <w:tc>
          <w:tcPr>
            <w:tcW w:w="20" w:type="dxa"/>
            <w:vAlign w:val="bottom"/>
          </w:tcPr>
          <w:p>
            <w:pPr>
              <w:spacing w:after="0"/>
              <w:rPr>
                <w:sz w:val="17"/>
                <w:szCs w:val="17"/>
                <w:color w:val="auto"/>
              </w:rPr>
            </w:pPr>
          </w:p>
        </w:tc>
      </w:tr>
      <w:tr>
        <w:trPr>
          <w:trHeight w:val="202"/>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Intersegment sales</w:t>
            </w:r>
          </w:p>
        </w:tc>
        <w:tc>
          <w:tcPr>
            <w:tcW w:w="1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879,586</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224,215</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624,215</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148,202</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772,417</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255,371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331,384</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Segment selling, general, and administrative expenses (a)</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100,532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35,864</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136,396</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154,839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194,988</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22,154</w:t>
            </w:r>
          </w:p>
        </w:tc>
        <w:tc>
          <w:tcPr>
            <w:tcW w:w="20" w:type="dxa"/>
            <w:vAlign w:val="bottom"/>
          </w:tcPr>
          <w:p>
            <w:pPr>
              <w:spacing w:after="0"/>
              <w:rPr>
                <w:sz w:val="17"/>
                <w:szCs w:val="17"/>
                <w:color w:val="auto"/>
              </w:rPr>
            </w:pPr>
          </w:p>
        </w:tc>
      </w:tr>
      <w:tr>
        <w:trPr>
          <w:trHeight w:val="196"/>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172,834</w:t>
            </w:r>
          </w:p>
        </w:tc>
        <w:tc>
          <w:tcPr>
            <w:tcW w:w="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46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300" w:type="dxa"/>
            <w:vAlign w:val="bottom"/>
            <w:gridSpan w:val="10"/>
          </w:tcPr>
          <w:p>
            <w:pPr>
              <w:ind w:left="620"/>
              <w:spacing w:after="0"/>
              <w:rPr>
                <w:sz w:val="20"/>
                <w:szCs w:val="20"/>
                <w:color w:val="auto"/>
              </w:rPr>
            </w:pPr>
            <w:r>
              <w:rPr>
                <w:rFonts w:ascii="Times New Roman" w:cs="Times New Roman" w:eastAsia="Times New Roman" w:hAnsi="Times New Roman"/>
                <w:sz w:val="16"/>
                <w:szCs w:val="16"/>
                <w:b w:val="1"/>
                <w:bCs w:val="1"/>
                <w:color w:val="auto"/>
              </w:rPr>
              <w:t>Thirteen weeks ended September 27, 2025</w:t>
            </w:r>
          </w:p>
        </w:tc>
      </w:tr>
      <w:tr>
        <w:trPr>
          <w:trHeight w:val="202"/>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40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808,285</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241,338</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1,049,623</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Intersegment sales</w:t>
            </w:r>
          </w:p>
        </w:tc>
        <w:tc>
          <w:tcPr>
            <w:tcW w:w="1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806,562</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239,418</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567,136</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160,598</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727,734</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318,246</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Segment selling, general, and administrative expenses (a)</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96,049</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55,631</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151,680</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143,377</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166,566</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20" w:type="dxa"/>
            <w:vAlign w:val="bottom"/>
          </w:tcPr>
          <w:p>
            <w:pPr>
              <w:spacing w:after="0"/>
              <w:rPr>
                <w:sz w:val="17"/>
                <w:szCs w:val="17"/>
                <w:color w:val="auto"/>
              </w:rPr>
            </w:pPr>
          </w:p>
        </w:tc>
      </w:tr>
      <w:tr>
        <w:trPr>
          <w:trHeight w:val="196"/>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141,456</w:t>
            </w:r>
          </w:p>
        </w:tc>
        <w:tc>
          <w:tcPr>
            <w:tcW w:w="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18" w:right="1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46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300" w:type="dxa"/>
            <w:vAlign w:val="bottom"/>
            <w:gridSpan w:val="10"/>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 September 26, 2026</w:t>
            </w:r>
          </w:p>
        </w:tc>
      </w:tr>
      <w:tr>
        <w:trPr>
          <w:trHeight w:val="202"/>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40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2,566,951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696,692</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3,263,643</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Intersegment sales</w:t>
            </w:r>
          </w:p>
        </w:tc>
        <w:tc>
          <w:tcPr>
            <w:tcW w:w="1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2,559,484</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692,203</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1,795,282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467,326</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2,262,608</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764,202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224,877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989,079</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Segment selling, general, and administrative expenses (a)</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311,964</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111,342</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423,306</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452,238</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565,773</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71,202</w:t>
            </w:r>
          </w:p>
        </w:tc>
        <w:tc>
          <w:tcPr>
            <w:tcW w:w="20" w:type="dxa"/>
            <w:vAlign w:val="bottom"/>
          </w:tcPr>
          <w:p>
            <w:pPr>
              <w:spacing w:after="0"/>
              <w:rPr>
                <w:sz w:val="17"/>
                <w:szCs w:val="17"/>
                <w:color w:val="auto"/>
              </w:rPr>
            </w:pPr>
          </w:p>
        </w:tc>
      </w:tr>
      <w:tr>
        <w:trPr>
          <w:trHeight w:val="196"/>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494,571</w:t>
            </w:r>
          </w:p>
        </w:tc>
        <w:tc>
          <w:tcPr>
            <w:tcW w:w="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ind w:left="46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4300" w:type="dxa"/>
            <w:vAlign w:val="bottom"/>
            <w:gridSpan w:val="10"/>
          </w:tcPr>
          <w:p>
            <w:pPr>
              <w:ind w:left="520"/>
              <w:spacing w:after="0"/>
              <w:rPr>
                <w:sz w:val="20"/>
                <w:szCs w:val="20"/>
                <w:color w:val="auto"/>
              </w:rPr>
            </w:pPr>
            <w:r>
              <w:rPr>
                <w:rFonts w:ascii="Times New Roman" w:cs="Times New Roman" w:eastAsia="Times New Roman" w:hAnsi="Times New Roman"/>
                <w:sz w:val="16"/>
                <w:szCs w:val="16"/>
                <w:b w:val="1"/>
                <w:bCs w:val="1"/>
                <w:color w:val="auto"/>
              </w:rPr>
              <w:t>Thirty-nine weeks ended September 27, 2025</w:t>
            </w:r>
          </w:p>
        </w:tc>
      </w:tr>
      <w:tr>
        <w:trPr>
          <w:trHeight w:val="202"/>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40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2,280,031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798,029</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3,078,060</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Intersegment sales</w:t>
            </w:r>
          </w:p>
        </w:tc>
        <w:tc>
          <w:tcPr>
            <w:tcW w:w="1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20" w:type="dxa"/>
            <w:vAlign w:val="bottom"/>
          </w:tcPr>
          <w:p>
            <w:pPr>
              <w:spacing w:after="0"/>
              <w:rPr>
                <w:sz w:val="17"/>
                <w:szCs w:val="17"/>
                <w:color w:val="auto"/>
              </w:rPr>
            </w:pPr>
          </w:p>
        </w:tc>
      </w:tr>
      <w:tr>
        <w:trPr>
          <w:trHeight w:val="196"/>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2,273,145</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792,697</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3,065,842</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1,592,961</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542,366</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2,135,327</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680,184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250,331</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930,515</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Segment selling, general, and administrative expenses (a)</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302,899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149,987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452,886</w:t>
            </w:r>
          </w:p>
        </w:tc>
        <w:tc>
          <w:tcPr>
            <w:tcW w:w="20" w:type="dxa"/>
            <w:vAlign w:val="bottom"/>
          </w:tcPr>
          <w:p>
            <w:pPr>
              <w:spacing w:after="0"/>
              <w:rPr>
                <w:sz w:val="17"/>
                <w:szCs w:val="17"/>
                <w:color w:val="auto"/>
              </w:rPr>
            </w:pPr>
          </w:p>
        </w:tc>
      </w:tr>
      <w:tr>
        <w:trPr>
          <w:trHeight w:val="20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of goodwill and other intangible assets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91,337</w:t>
            </w:r>
          </w:p>
        </w:tc>
        <w:tc>
          <w:tcPr>
            <w:tcW w:w="20" w:type="dxa"/>
            <w:vAlign w:val="bottom"/>
          </w:tcPr>
          <w:p>
            <w:pPr>
              <w:spacing w:after="0"/>
              <w:rPr>
                <w:sz w:val="17"/>
                <w:szCs w:val="17"/>
                <w:color w:val="auto"/>
              </w:rPr>
            </w:pPr>
          </w:p>
        </w:tc>
      </w:tr>
      <w:tr>
        <w:trPr>
          <w:trHeight w:val="203"/>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Realignment charges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20" w:type="dxa"/>
            <w:vAlign w:val="bottom"/>
          </w:tcPr>
          <w:p>
            <w:pPr>
              <w:spacing w:after="0"/>
              <w:rPr>
                <w:sz w:val="17"/>
                <w:szCs w:val="17"/>
                <w:color w:val="auto"/>
              </w:rPr>
            </w:pPr>
          </w:p>
        </w:tc>
      </w:tr>
      <w:tr>
        <w:trPr>
          <w:trHeight w:val="19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286,503</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381,980</w:t>
            </w:r>
          </w:p>
        </w:tc>
        <w:tc>
          <w:tcPr>
            <w:tcW w:w="20" w:type="dxa"/>
            <w:vAlign w:val="bottom"/>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78,362</w:t>
            </w:r>
          </w:p>
        </w:tc>
        <w:tc>
          <w:tcPr>
            <w:tcW w:w="20" w:type="dxa"/>
            <w:vAlign w:val="bottom"/>
          </w:tcPr>
          <w:p>
            <w:pPr>
              <w:spacing w:after="0"/>
              <w:rPr>
                <w:sz w:val="17"/>
                <w:szCs w:val="17"/>
                <w:color w:val="auto"/>
              </w:rPr>
            </w:pPr>
          </w:p>
        </w:tc>
      </w:tr>
      <w:tr>
        <w:trPr>
          <w:trHeight w:val="20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realignment charges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20" w:type="dxa"/>
            <w:vAlign w:val="bottom"/>
          </w:tcPr>
          <w:p>
            <w:pPr>
              <w:spacing w:after="0"/>
              <w:rPr>
                <w:sz w:val="17"/>
                <w:szCs w:val="17"/>
                <w:color w:val="auto"/>
              </w:rPr>
            </w:pPr>
          </w:p>
        </w:tc>
      </w:tr>
      <w:tr>
        <w:trPr>
          <w:trHeight w:val="196"/>
        </w:trPr>
        <w:tc>
          <w:tcPr>
            <w:tcW w:w="4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299,046</w:t>
            </w:r>
          </w:p>
        </w:tc>
        <w:tc>
          <w:tcPr>
            <w:tcW w:w="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right="340" w:hanging="330"/>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for each reportable segment includes compensation, certain allocated overhead expenses including information technology and enterprise resource planning, commissions, incentives, depreciation and amortization expense, research and development, and professional services fees.</w:t>
      </w:r>
    </w:p>
    <w:p>
      <w:pPr>
        <w:spacing w:after="0" w:line="176" w:lineRule="exact"/>
        <w:rPr>
          <w:sz w:val="20"/>
          <w:szCs w:val="20"/>
          <w:color w:val="auto"/>
        </w:rPr>
      </w:pPr>
    </w:p>
    <w:p>
      <w:pPr>
        <w:jc w:val="both"/>
        <w:ind w:right="40" w:firstLine="648"/>
        <w:spacing w:after="0" w:line="270" w:lineRule="auto"/>
        <w:rPr>
          <w:sz w:val="20"/>
          <w:szCs w:val="20"/>
          <w:color w:val="auto"/>
        </w:rPr>
      </w:pPr>
      <w:r>
        <w:rPr>
          <w:rFonts w:ascii="Times New Roman" w:cs="Times New Roman" w:eastAsia="Times New Roman" w:hAnsi="Times New Roman"/>
          <w:sz w:val="17"/>
          <w:szCs w:val="17"/>
          <w:color w:val="auto"/>
        </w:rPr>
        <w:t>In the first quarter of fiscal 2026, the Company revised its product line presentation to better reflect how the business is currently managed. Within the Infrastructure segment, product lines are now presented as North America Utility, North America Lighting and Transportation, North America Coatings, North America Telecommunications, and International Infrastructure and Solar, replacing the previous presentation of Utility, Lighting and Transportation, Coatings, Telecommunications, and Solar.</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Within the Agriculture segment, product lines are now presented as Agriculture, replacing the previous presentation of Irrigation Equipment and Parts and Technology Products and Services. The prior period product line amounts have been recast to conform to the current period presentation.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9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spacing w:after="0"/>
              <w:rPr>
                <w:sz w:val="18"/>
                <w:szCs w:val="18"/>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Thirteen weeks ended September 26, 2026</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34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Intersegment</w:t>
            </w: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Geographical market:</w:t>
            </w: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721,751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6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882,089</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225,997</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line:</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9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225,997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882,089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320" w:top="418" w:right="12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80"/>
          </w:cols>
          <w:pgMar w:left="1320" w:top="418" w:right="12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9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spacing w:after="0"/>
              <w:rPr>
                <w:sz w:val="18"/>
                <w:szCs w:val="18"/>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Thirteen weeks ended September 27, 2025</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340" w:type="dxa"/>
            <w:vAlign w:val="bottom"/>
            <w:tcBorders>
              <w:top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2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Intersegment</w:t>
            </w:r>
          </w:p>
        </w:tc>
        <w:tc>
          <w:tcPr>
            <w:tcW w:w="32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Geographical market:</w:t>
            </w: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6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808,285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241,338</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line:</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241,338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808,285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 September 26, 2026</w:t>
            </w: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Intersegment</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Geographical market:</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2,103,093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463,858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289,022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2,566,951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696,692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line: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1,350,544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201,884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464,524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696,692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2,566,951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696,692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ind w:left="40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 September 27, 2025</w:t>
            </w: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i w:val="1"/>
                <w:iCs w:val="1"/>
                <w:color w:val="auto"/>
              </w:rPr>
              <w:t>Agriculture</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Intersegment</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Consolidated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Geographical market:</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1,849,918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2,229,131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430,113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2,280,031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798,029</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3,065,842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 line: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1,055,681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798,029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2,280,031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798,029</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3,065,842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ind w:left="55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2"/>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r>
      <w:tr>
        <w:trPr>
          <w:trHeight w:val="202"/>
        </w:trPr>
        <w:tc>
          <w:tcPr>
            <w:tcW w:w="5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2,468,226</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2,312,500</w:t>
            </w:r>
          </w:p>
        </w:tc>
        <w:tc>
          <w:tcPr>
            <w:tcW w:w="40" w:type="dxa"/>
            <w:vAlign w:val="bottom"/>
          </w:tcPr>
          <w:p>
            <w:pPr>
              <w:spacing w:after="0"/>
              <w:rPr>
                <w:sz w:val="17"/>
                <w:szCs w:val="17"/>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808,872</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768,715</w:t>
            </w:r>
          </w:p>
        </w:tc>
        <w:tc>
          <w:tcPr>
            <w:tcW w:w="40" w:type="dxa"/>
            <w:vAlign w:val="bottom"/>
          </w:tcPr>
          <w:p>
            <w:pPr>
              <w:spacing w:after="0"/>
              <w:rPr>
                <w:sz w:val="17"/>
                <w:szCs w:val="17"/>
                <w:color w:val="auto"/>
              </w:rPr>
            </w:pPr>
          </w:p>
        </w:tc>
      </w:tr>
      <w:tr>
        <w:trPr>
          <w:trHeight w:val="196"/>
        </w:trPr>
        <w:tc>
          <w:tcPr>
            <w:tcW w:w="5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segment assets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3,277,098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3,081,215</w:t>
            </w:r>
          </w:p>
        </w:tc>
        <w:tc>
          <w:tcPr>
            <w:tcW w:w="40" w:type="dxa"/>
            <w:vAlign w:val="bottom"/>
          </w:tcPr>
          <w:p>
            <w:pPr>
              <w:spacing w:after="0"/>
              <w:rPr>
                <w:sz w:val="17"/>
                <w:szCs w:val="17"/>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Unallocated corporate assets</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263,776</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288,114</w:t>
            </w:r>
          </w:p>
        </w:tc>
        <w:tc>
          <w:tcPr>
            <w:tcW w:w="40" w:type="dxa"/>
            <w:vAlign w:val="bottom"/>
          </w:tcPr>
          <w:p>
            <w:pPr>
              <w:spacing w:after="0"/>
              <w:rPr>
                <w:sz w:val="17"/>
                <w:szCs w:val="17"/>
                <w:color w:val="auto"/>
              </w:rPr>
            </w:pPr>
          </w:p>
        </w:tc>
      </w:tr>
      <w:tr>
        <w:trPr>
          <w:trHeight w:val="196"/>
        </w:trPr>
        <w:tc>
          <w:tcPr>
            <w:tcW w:w="5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3,540,874</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3,369,329</w:t>
            </w:r>
          </w:p>
        </w:tc>
        <w:tc>
          <w:tcPr>
            <w:tcW w:w="4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320" w:top="418" w:right="1299" w:bottom="1440" w:gutter="0" w:footer="0" w:header="0"/>
        </w:sect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80"/>
          </w:cols>
          <w:pgMar w:left="1320" w:top="418"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VALMONT INDUSTRIES, INC. AND SUBSIDIARIES</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7"/>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3940" w:type="dxa"/>
            <w:vAlign w:val="bottom"/>
          </w:tcPr>
          <w:p>
            <w:pPr>
              <w:spacing w:after="0"/>
              <w:rPr>
                <w:sz w:val="18"/>
                <w:szCs w:val="18"/>
                <w:color w:val="auto"/>
              </w:rPr>
            </w:pPr>
          </w:p>
        </w:tc>
        <w:tc>
          <w:tcPr>
            <w:tcW w:w="128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4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3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Infrastructure</w:t>
            </w: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39,209</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102,037</w:t>
            </w:r>
          </w:p>
        </w:tc>
        <w:tc>
          <w:tcPr>
            <w:tcW w:w="80" w:type="dxa"/>
            <w:vAlign w:val="bottom"/>
          </w:tcPr>
          <w:p>
            <w:pPr>
              <w:spacing w:after="0"/>
              <w:rPr>
                <w:sz w:val="17"/>
                <w:szCs w:val="17"/>
                <w:color w:val="auto"/>
              </w:rPr>
            </w:pPr>
          </w:p>
        </w:tc>
        <w:tc>
          <w:tcPr>
            <w:tcW w:w="4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92,167</w:t>
            </w:r>
          </w:p>
        </w:tc>
      </w:tr>
      <w:tr>
        <w:trPr>
          <w:trHeight w:val="20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r>
      <w:tr>
        <w:trPr>
          <w:trHeight w:val="196"/>
        </w:trPr>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segment capital expenditures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101,023</w:t>
            </w:r>
          </w:p>
        </w:tc>
      </w:tr>
      <w:tr>
        <w:trPr>
          <w:trHeight w:val="20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Unallocated corporate capital expenditures</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r>
      <w:tr>
        <w:trPr>
          <w:trHeight w:val="196"/>
        </w:trPr>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45,573</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41,924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104,230</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33"/>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10"/>
          </w:tcPr>
          <w:p>
            <w:pPr>
              <w:ind w:left="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3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Infrastructure</w:t>
            </w:r>
          </w:p>
        </w:tc>
        <w:tc>
          <w:tcPr>
            <w:tcW w:w="66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21,495</w:t>
            </w:r>
          </w:p>
        </w:tc>
        <w:tc>
          <w:tcPr>
            <w:tcW w:w="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16,176</w:t>
            </w: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58,336</w:t>
            </w:r>
          </w:p>
        </w:tc>
        <w:tc>
          <w:tcPr>
            <w:tcW w:w="4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47,645</w:t>
            </w:r>
          </w:p>
        </w:tc>
      </w:tr>
      <w:tr>
        <w:trPr>
          <w:trHeight w:val="203"/>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Agriculture</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10,817</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w:t>
            </w:r>
          </w:p>
        </w:tc>
      </w:tr>
      <w:tr>
        <w:trPr>
          <w:trHeight w:val="196"/>
        </w:trPr>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segment depreciation and amortization expense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25,116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69,153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59,109</w:t>
            </w:r>
          </w:p>
        </w:tc>
      </w:tr>
      <w:tr>
        <w:trPr>
          <w:trHeight w:val="203"/>
        </w:trPr>
        <w:tc>
          <w:tcPr>
            <w:tcW w:w="4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Unallocated corporate depreciation and amortization expense</w:t>
            </w:r>
          </w:p>
        </w:tc>
        <w:tc>
          <w:tcPr>
            <w:tcW w:w="6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r>
      <w:tr>
        <w:trPr>
          <w:trHeight w:val="196"/>
        </w:trPr>
        <w:tc>
          <w:tcPr>
            <w:tcW w:w="3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depreciation and amortization expense</w:t>
            </w:r>
          </w:p>
        </w:tc>
        <w:tc>
          <w:tcPr>
            <w:tcW w:w="56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26,028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21,648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72,860</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65,429</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418" w:right="1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Valmont Industries, Inc., along with its subsidiaries (collectively referred to as the “Company,” “Valmont,” “we,” “us,” or “our”), is a diversified manufacturer of products and services for infrastructure and agriculture markets. Founded in 1946 and headquartered in Omaha, Nebraska, our purpose is to conserve resources and improve life.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contain forward-looking statements as defined by the Private Securities Litigation Reform Act of 1995. These statements are based on assumptions that management has made in light of experience in the industries in which the Company operates, as well as management’s perceptions of historical trends, current conditions, anticipated future developments, and other factors deemed to be relevant. However, these statements are not guarantees of future performance or results. They are subject to risks, uncertainties (some beyond the Company’s control), and various assumptions.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believes these forward-looking statements are based on reasonable assumptions. However, many factors could cause the actual financial results to differ materially from expectations. These factors include, among others, risk factors described in the Company’s reports to the Securities and Exchange Commission, as well as future economic and market conditions, industry trends, Company performance and financial results, operational efficiencies, availability and pricing of raw materials, availability and market acceptance of new products, product pricing, domestic and international competition, and actions or policy changes by domestic and foreign governments.</w:t>
      </w:r>
    </w:p>
    <w:p>
      <w:pPr>
        <w:spacing w:after="0" w:line="187"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This discussion should be read in conjunction with the financial statements and notes thereto, and the management’s discussion and analysis included in the Company’s Annual Report on Form 10-K for the fiscal year ended December 27, 2025.</w:t>
      </w:r>
    </w:p>
    <w:p>
      <w:pPr>
        <w:spacing w:after="0" w:line="14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Segment net sales in the following table and elsewhere are presented net of intersegment sales. See Note 15 of our Condensed Consolidated Financial Statements for additional information on segment sales and intersegment sales.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20"/>
          </w:cols>
          <w:pgMar w:left="1320" w:top="364" w:right="1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78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 except per-share amounts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26, 2026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27, 2025</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26, 2026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27, 2025</w:t>
            </w:r>
          </w:p>
        </w:tc>
        <w:tc>
          <w:tcPr>
            <w:tcW w:w="160" w:type="dxa"/>
            <w:vAlign w:val="bottom"/>
          </w:tcPr>
          <w:p>
            <w:pPr>
              <w:spacing w:after="0"/>
              <w:rPr>
                <w:sz w:val="18"/>
                <w:szCs w:val="18"/>
                <w:color w:val="auto"/>
              </w:rPr>
            </w:pPr>
          </w:p>
        </w:tc>
        <w:tc>
          <w:tcPr>
            <w:tcW w:w="780" w:type="dxa"/>
            <w:vAlign w:val="bottom"/>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1,103,801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1,045,980</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3,251,687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3,065,842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318,246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930,515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176,790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531,248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Realignment charges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22.2%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299,046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65.4%</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interest expense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Effective tax rate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earnings attrib. to Valmont Industries, Inc.</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22.2%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182,272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25.3%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129.2%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879,586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806,562</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9.1%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2,559,484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2,273,145</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680,184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302,899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Realignment charges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286,503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Agriculture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224,215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239,418</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792,697</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250,331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Realignment charges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as a percentage of net sales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78,362</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Realignment charges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(82,934)</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Consolidated net sales increased $57.8 million or 5.5% in the third quarter of fiscal 2026 and increased $185.8 million or 6.1% in the first three quarters of fiscal 2026, as compared to the same periods of fiscal 2025. The increases were primarily driven by higher net sales in the Infrastructure segment, particularly within the North America Utility product line, partially offset by lower Agriculture segment sales in international markets.</w:t>
      </w:r>
    </w:p>
    <w:p>
      <w:pPr>
        <w:spacing w:after="0" w:line="180" w:lineRule="exact"/>
        <w:rPr>
          <w:sz w:val="20"/>
          <w:szCs w:val="20"/>
          <w:color w:val="auto"/>
        </w:rPr>
      </w:pPr>
    </w:p>
    <w:p>
      <w:pPr>
        <w:ind w:right="160" w:firstLine="648"/>
        <w:spacing w:after="0" w:line="273" w:lineRule="auto"/>
        <w:rPr>
          <w:sz w:val="20"/>
          <w:szCs w:val="20"/>
          <w:color w:val="auto"/>
        </w:rPr>
      </w:pPr>
      <w:r>
        <w:rPr>
          <w:rFonts w:ascii="Times New Roman" w:cs="Times New Roman" w:eastAsia="Times New Roman" w:hAnsi="Times New Roman"/>
          <w:sz w:val="17"/>
          <w:szCs w:val="17"/>
          <w:color w:val="auto"/>
        </w:rPr>
        <w:t>Consolidated gross profit increased $13.1 million or 4.1% in the third quarter of fiscal 2026 and increased $58.6 million or 6.3% in the first three quarters of fiscal 2026, as compared to the same periods of fiscal 2025. The increases were primarily attributable to favorable pricing and higher sales volumes in the Infrastructure segment, particularly within the North America Utility product line, and approximately $6.1 million of refunds of tariffs imposed under the International Emergency Economic Powers Act (“IEEPA”) recognized during the third quarter of fiscal 2026. These benefits were partially offset by higher material costs, including steel costs that largely offset the benefits of pricing actions, unfavorable manufacturing variances, and lower international sales volumes in the Agriculture segment during the first three quarters of fiscal 2026.</w:t>
      </w:r>
    </w:p>
    <w:p>
      <w:pPr>
        <w:sectPr>
          <w:pgSz w:w="11900" w:h="16838" w:orient="portrait"/>
          <w:cols w:equalWidth="0" w:num="1">
            <w:col w:w="9280"/>
          </w:cols>
          <w:pgMar w:left="1320" w:top="364" w:right="129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80"/>
          </w:cols>
          <w:pgMar w:left="1320" w:top="364" w:right="1299" w:bottom="87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Consolidated selling, general, and administrative (“SG&amp;A”) expenses decreased $18.2 million or 10.3% in the third quarter of fiscal 2026 and decreased $36.7 million or 6.9% in the first three quarters of fiscal 2026, as compared to the same periods of fiscal 2025. The decreases were primarily driven by lower expected credit losses, particularly within the Agriculture segment’s operations in Brazil, including recoveries of previously aged accounts receivable, and lower litigation costs. The decrease in litigation costs primarily reflected higher legal accruals recognized during the third quarter of fiscal 2025 in connection with a former dealer matter that was resolved in fiscal 2026. These decreases were partially offset by higher compensation costs, primarily resulting from higher headcount within the North America Utility business.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Consolidated operating income increased $31.4 million or 22.2% in the third quarter of fiscal 2026 and increased $195.5 million or 65.4% in the first three quarters of fiscal 2026, as compared to the same periods of fiscal 2025. The third-quarter increase was primarily attributable to higher gross profit and lower SG&amp;A expenses. The increase in the first three quarters also reflected impairment charges of $91.3 million and realignment charges of $8.9 million recognized during the second quarter of fiscal 2025, as well as $7.0 million of expense associated with software licenses that were no longer expected to be used and a $3.2 million write-off related to the Company’s exit from the agriculture solar market in Brazil.</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Our effective income tax rate in the third quarter and first three quarters of fiscal 2026 was 25.6% and 25.7%, respectively, as compared to 23.1% and 31.1% in the same periods of fiscal 2025. The effective tax rate for the first three quarters of fiscal 2025 included goodwill impairment charges for which no tax benefit was recorded.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Infrastructure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60" w:type="dxa"/>
            <w:vAlign w:val="bottom"/>
          </w:tcPr>
          <w:p>
            <w:pPr>
              <w:jc w:val="center"/>
              <w:ind w:right="19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3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469,622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381,657</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87,965</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(33.8%)</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160,398</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152,082</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6"/>
        </w:trPr>
        <w:tc>
          <w:tcPr>
            <w:tcW w:w="356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w w:val="98"/>
              </w:rPr>
              <w:t>Total sales</w:t>
            </w:r>
          </w:p>
        </w:tc>
        <w:tc>
          <w:tcPr>
            <w:tcW w:w="6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882,089</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808,285</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60" w:type="dxa"/>
            <w:vAlign w:val="bottom"/>
          </w:tcPr>
          <w:p>
            <w:pPr>
              <w:jc w:val="center"/>
              <w:ind w:right="19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3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Utility</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1,350,544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1,055,681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294,863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Lighting and Transportation</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 Coatings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201,884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176,143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Telecommunications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(50,689)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(22.6%)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Infrastructure and Solar</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464,524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435,887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6"/>
        </w:trPr>
        <w:tc>
          <w:tcPr>
            <w:tcW w:w="356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w w:val="98"/>
              </w:rPr>
              <w:t>Total sales</w:t>
            </w:r>
          </w:p>
        </w:tc>
        <w:tc>
          <w:tcPr>
            <w:tcW w:w="6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2,566,951</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2,280,031</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Infrastructure segment sales increased $73.8 million or 9.1% in the third quarter of fiscal 2026 and increased $286.9 million or 12.6% in the first three quarters of fiscal 2026, as compared to the same periods of fiscal 2025. The increases were driven by favorable pricing and higher sales volumes in the North America Utility product line, as well as higher sales volumes in the North America Coatings product line. These increases more than offset lower sales volumes in the North America Telecommunications product line. Foreign currency translation favorably impacted sales by $2.2 million in the third quarter of fiscal 2026 and $19.7 million in the first three quarters of fiscal 2026.</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North America Utility product line sales increased $88.0 million or 23.0% in the third quarter of fiscal 2026 and increased $294.9 million or 27.9% in the first three quarters of fiscal 2026, as compared to the same periods of fiscal 2025, reflecting favorable pricing and higher sales volumes. Demand remained strong, supported by increased electrical energy consumption and continued utility investment to expand and reinforce grid capacity, including investments to serve growing power demand from data centers and other sources of load growth.</w:t>
      </w:r>
    </w:p>
    <w:p>
      <w:pPr>
        <w:spacing w:after="0" w:line="183"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North America Lighting and Transportation product line sales decreased $2.9 million or 2.2% in the third quarter of fiscal 2026 and decreased $11.6 million or 3.0% in the first three quarters of fiscal 2026, as compared to the same periods of</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fiscal 2025. The decreases were primarily attributable to lower sales volumes resulting from certain operational challenges, partially offset by favorable pricing.</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North America Coatings product line sales increased $8.5 million or 13.8% in the third quarter of fiscal 2026 and increased $25.7 million or 14.6% in the first three quarters of fiscal 2026, as compared to the same periods of fiscal 2025. The increases were driven by higher sales volumes resulting from continued strength in infrastructure-related and data center demand.</w:t>
      </w:r>
    </w:p>
    <w:p>
      <w:pPr>
        <w:spacing w:after="0" w:line="180"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North America Telecommunications product line sales decreased $28.0 million or 33.8% in the third quarter of fiscal 2026 and decreased $50.7 million or 22.6% in the first three quarters of fiscal 2026, as compared to the same periods of fiscal 2025. The decreases were primarily attributable to lower sales volumes associated with reduced carrier spending as customers shifted capital allocation priorities.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International Infrastructure and Solar product line sales increased $8.3 million or 5.5% in the third quarter of fiscal 2026 and increased $28.6 million or 6.6% in the first three quarters of fiscal 2026, as compared to the same periods of fiscal 2025. The increases were primarily attributable to pricing actions and favorable foreign currency impacts of $2.2 million in the third quarter of fiscal 2026 and $18.7 million in the first three quarters of fiscal 2026, as well as higher sales volumes associated with international utility and infrastructure project activity.</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Infrastructure segment gross profit increased $15.9 million or 6.7% in the third quarter of fiscal 2026 and increased $84.0 million or 12.4% in the first three quarters of fiscal 2026, as compared to the same periods of fiscal 2025. The increases were primarily attributable to favorable pricing, higher sales volumes in the North America Utility and North America Coatings product lines, approximately $4.5 million of IEEPA tariff refunds recognized during the third quarter of fiscal 2026, and lower inventory reserves. These benefits were partially offset by higher material costs, primarily steel and zinc, higher labor costs associated with increased headcount to support additional North America Utility product line capacity, and lower sales volumes in the North America Telecommunications product line.</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Infrastructure segment SG&amp;A expenses increased $4.5 million or 4.7% in the third quarter of fiscal 2026 and increased $9.1 million or 3.0% in the first three quarters of fiscal 2026, as compared to the same periods of fiscal 2025. The increases were primarily driven by higher compensation costs resulting from increased headcount, particularly within the North America Utility business, partially offset by lower expected credit losses.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Infrastructure segment operating income increased $11.5 million or 8.0% in the third quarter of fiscal 2026 and increased $165.7 million or 57.8% in the first three quarters of fiscal 2026, as compared to the same periods of fiscal 2025. The third-quarter increase was primarily attributable to the gross profit drivers discussed above, partially offset by higher SG&amp;A expenses. The increase in the first three quarters also reflected impairment charges of $89.4 million related to certain long-lived assets, primarily in the Solar and Access Systems reporting units, and realignment charges of $1.4 million recorded during the second quarter of fiscal 2025.</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Agriculture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40" w:type="dxa"/>
            <w:vAlign w:val="bottom"/>
            <w:vMerge w:val="restart"/>
          </w:tcPr>
          <w:p>
            <w:pPr>
              <w:ind w:left="1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4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4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80" w:type="dxa"/>
            <w:vAlign w:val="bottom"/>
          </w:tcPr>
          <w:p>
            <w:pPr>
              <w:jc w:val="center"/>
              <w:ind w:right="113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4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2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17,586</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(32,927)</w:t>
            </w:r>
          </w:p>
        </w:tc>
        <w:tc>
          <w:tcPr>
            <w:tcW w:w="1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(25.3%)</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jc w:val="center"/>
              <w:ind w:right="1139"/>
              <w:spacing w:after="0"/>
              <w:rPr>
                <w:sz w:val="20"/>
                <w:szCs w:val="20"/>
                <w:color w:val="auto"/>
              </w:rPr>
            </w:pPr>
            <w:r>
              <w:rPr>
                <w:rFonts w:ascii="Times New Roman" w:cs="Times New Roman" w:eastAsia="Times New Roman" w:hAnsi="Times New Roman"/>
                <w:sz w:val="16"/>
                <w:szCs w:val="16"/>
                <w:color w:val="auto"/>
                <w:w w:val="98"/>
              </w:rPr>
              <w:t>Total sales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80" w:type="dxa"/>
            <w:vAlign w:val="bottom"/>
          </w:tcPr>
          <w:p>
            <w:pPr>
              <w:spacing w:after="0"/>
              <w:rPr>
                <w:sz w:val="18"/>
                <w:szCs w:val="18"/>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80" w:type="dxa"/>
            <w:vAlign w:val="bottom"/>
          </w:tcPr>
          <w:p>
            <w:pPr>
              <w:jc w:val="center"/>
              <w:ind w:right="113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2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407,670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391,292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(117,715)</w:t>
            </w:r>
          </w:p>
        </w:tc>
        <w:tc>
          <w:tcPr>
            <w:tcW w:w="1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(28.9%)</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jc w:val="center"/>
              <w:ind w:right="1139"/>
              <w:spacing w:after="0"/>
              <w:rPr>
                <w:sz w:val="20"/>
                <w:szCs w:val="20"/>
                <w:color w:val="auto"/>
              </w:rPr>
            </w:pPr>
            <w:r>
              <w:rPr>
                <w:rFonts w:ascii="Times New Roman" w:cs="Times New Roman" w:eastAsia="Times New Roman" w:hAnsi="Times New Roman"/>
                <w:sz w:val="16"/>
                <w:szCs w:val="16"/>
                <w:color w:val="auto"/>
                <w:w w:val="98"/>
              </w:rPr>
              <w:t>Total sales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696,692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Agriculture segment sales decreased $15.3 million or 6.4% in the third quarter of fiscal 2026 and decreased $101.3 million or 12.7% in the first three quarters of fiscal 2026, as compared to the same periods of fiscal 2025. The decreases primarily reflected lower sales volumes in international markets, partially offset by higher sales volumes and favorable pricing in North America.</w:t>
      </w:r>
    </w:p>
    <w:p>
      <w:pPr>
        <w:sectPr>
          <w:pgSz w:w="11900" w:h="16838" w:orient="portrait"/>
          <w:cols w:equalWidth="0" w:num="1">
            <w:col w:w="9240"/>
          </w:cols>
          <w:pgMar w:left="1320" w:top="364" w:right="1339"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92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North America, Agriculture segment sales increased $17.6 million or 15.8% in the third quarter of fiscal 2026 and increased $16.4 million or 4.2% in the first three quarters of fiscal 2026, as compared to the same periods of fiscal 2025. The third-quarter increase was driven by higher sales volumes, including replacement sales from storm activity, and higher average selling prices. The increase in the first three quarters was primarily driven by higher average selling prices, partially offset by lower irrigation equipment sales volumes reflecting continued softness in the agricultural market. This softness was driven by lower grain prices, uncertainty surrounding trade policy, and the timing of government funding.</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international markets, Agriculture segment sales decreased $32.9 million or 25.3% in the third quarter of fiscal 2026 and decreased $117.7 million or 28.9% in the first three quarters of fiscal 2026, as compared to the same periods of fiscal 2025. The declines were primarily driven by disruptions related to the ongoing Middle East conflict and lower sales volumes in Brazil. These impacts were partially offset by favorable foreign currency impacts of $3.9 million and $15.7 million during the third quarter and first three quarters of fiscal 2026, respectively.</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Agriculture business is cyclical and influenced by factors including net farm income, commodity prices, weather volatility, geopolitical events, and farmer sentiment regarding future economic conditions. We closely monitor these variables across our key markets. In the U.S., net farm income estimates published by the U.S. Department of Agriculture are a key indicator of grower purchasing capacity. In Brazil, we monitor grain prices, projected farm input costs, interest rates, and net farm income trends, which collectively influence grower liquidity, credit availability, and purchasing behavior. We remain focused on managing through evolving market conditions and positioning the Agriculture business for long-term growth across both domestic and international markets.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Agriculture segment gross profit decreased $2.8 million or 3.6% in the third quarter of fiscal 2026 and decreased $25.5 million or 10.2% in the first three quarters of fiscal 2026, as compared to the same periods of fiscal 2025. The third-quarter decrease was primarily attributable to higher input costs and unfavorable manufacturing variances, partially offset by favorable pricing, higher North America sales volumes resulting from storm-related replacement activity, and approximately $1.6 million of IEEPA tariff refunds recognized during the third quarter of fiscal 2026. The decrease in the first three quarters was primarily attributable to lower international sales volumes resulting from the ongoing Middle East conflict, continued market softness in North America, higher input costs, and unfavorable manufacturing variances, partially offset by higher average selling prices in North America and the IEEPA tariff refunds.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Agriculture segment SG&amp;A expenses decreased $19.8 million or 35.5% in the third quarter of fiscal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$38.6 million or 25.8% in the first three quarters of fiscal 2026, as compared to the same periods of fiscal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were primarily driven by lower expected credit losses within the segment’s operations in Brazil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million in the third quarter of fiscal 2026 and $18.6 million in the first three quarters of fiscal 2026, including recoveries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previously aged accounts receivable. The decreases also reflected lower litigation costs of approximately $5.6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million in the third quarter and first three quarters of fiscal 2026, respectively. The decrease in litigation costs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higher legal accruals recognized during the third quarter of fiscal 2025 in connection with a former dealer matter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resolved in fiscal 2026.</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Agriculture segment operating income increased $17.0 million or 73.1% in the third quarter of fiscal 2026 and increased $18.1 million or 18.9% in the first three quarters of fiscal 2026, as compared to the same periods of fiscal 2025. The increases were primarily attributable to lower SG&amp;A expenses, partially offset by lower international sales volumes. Results for the second quarter of fiscal 2025 were also negatively impacted by impairment and other non-recurring charges of $5.9 million related to the agriculture solar business and realignment charges of $2.9 million.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Corporate SG&amp;A expenses decreased $3.0 million or 11.8% in the third quarter of fiscal 2026 and decreased $7.2 million or 9.1% in the first three quarters of fiscal 2026, as compared to the same periods of fiscal 2025. The third-quarter decrease was primarily attributable to lower professional service fees and lower compensation and incentive costs resulting from lower headcount. The decrease in the first three quarters was primarily attributable to lower compensation and incentive costs. Corporate operating loss for the first three quarters of fiscal 2025 also included realignment charges of $4.6 million.</w:t>
      </w:r>
    </w:p>
    <w:p>
      <w:pPr>
        <w:sectPr>
          <w:pgSz w:w="11900" w:h="16838" w:orient="portrait"/>
          <w:cols w:equalWidth="0" w:num="1">
            <w:col w:w="9220"/>
          </w:cols>
          <w:pgMar w:left="1320" w:top="36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20"/>
          </w:cols>
          <w:pgMar w:left="1320" w:top="364" w:right="1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FINANCIAL RESULTS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We continue to strategically enhance our portfolio through targeted acquisitions and divestitures, demonstrating our commitment to refining our business focus and driving value within our core segments. In the first quarter of fiscal 2026, we acquired the remaining 80% ownership interest in RMDS Innovation, Inc., a Quebec-based technology company, included in the Agriculture segment.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Geopolitical Impacts on Financial Results and Liquidity</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continue to actively monitor a range of macroeconomic and geopolitical uncertainties that have affected, and may continue to affect, our business operations and financial performance. These include volatility in the global economic and trade environment, inflationary cost pressures, supply chain disruptions, foreign currency fluctuations relative to the U.S. dollar, changing interest rates, ongoing international conflicts, and labor shortages. These factors may influence our operational costs, revenue streams, and overall financial stability. As conditions evolve, we are proactively adjusting our business strategies to mitigate potential risks, maintain financial resilience, and ensure sufficient liquidity to support ongoing operations and strategic initiatives.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Middle East continued to experience military conflict and related geopolitical instability during the third quarter of fiscal 2026. We have agriculture operations headquartered in Dubai, United Arab Emirates, with business activities throughout the region. The conflict and broader regional instability have affected, and could continue to adversely affect, our regional operations through disruptions to logistics networks and transportation infrastructure, increased energy costs, and volatility in regional currency and financial markets. Certain customers and suppliers in the region have been, and could continue to be, negatively affected by these developments. We continue to actively monitor the situation and are taking actions, as appropriate, to mitigate potential impacts on our operations, financial results, and liquidity.</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April 2, 2026, a proclamation was issued modifying Section 232 tariffs on steel, aluminum, and certain derivative articles, effective April 6, 2026. Under the proclamation, tariffs on certain steel products, including utility poles, are determined based on sourcing requirements, with a 10% ad valorem rate applicable to products in which at least 95% of steel content was melted and poured in the U.S. Products that do not meet these requirements are subject to higher tariff rates, including up to 50% on full value. On June 1, 2026, a subsequent proclamation further adjusted the tariff framework by lowering the U.S.-content threshold for preferential rate eligibility from 95% to 85%. During fiscal 2025, we imported approximately $220.0 million of fabricated steel structures from Mexico into the U.S., which represents the primary category of products affected by these modifications. Based on our current assessment, we believe that the majority of our steel poles produced at our Mexico facility will qualify for the 10% tariff rate, as those structures are produced using U.S. melted and poured steel. Management has interpreted the requirements of the proclamation based on its current understanding and available guidance. Regulatory interpretations may evolve, and authorities could reach conclusions that differ from management’s interpretation. If such differing interpretations were to occur, the Company may be required to modify its practices, which could result in increased costs or changes to reported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Philosophy</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capital allocation priorities are intended to present a balanced approach to maintaining disciplined investments in organic and inorganic growth opportunities while delivering meaningful capital returns to shareholders over the next three to five years. These priorities are expected to be supported by our projected cash flow generation. We plan to allocate approximately 50% of operating cash flow to high-return growth opportunities, focused on:</w:t>
      </w:r>
    </w:p>
    <w:p>
      <w:pPr>
        <w:spacing w:after="0" w:line="72" w:lineRule="exact"/>
        <w:rPr>
          <w:sz w:val="20"/>
          <w:szCs w:val="20"/>
          <w:color w:val="auto"/>
        </w:rPr>
      </w:pPr>
    </w:p>
    <w:p>
      <w:pPr>
        <w:ind w:left="1000" w:right="380" w:hanging="326"/>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strategic capacity expansion, primarily in the Infrastructure segment, to maintain and increase manufacturing output and efficiency while driving innovation to better serve customers, and</w:t>
      </w:r>
    </w:p>
    <w:p>
      <w:pPr>
        <w:spacing w:after="0" w:line="53" w:lineRule="exact"/>
        <w:rPr>
          <w:rFonts w:ascii="Times New Roman" w:cs="Times New Roman" w:eastAsia="Times New Roman" w:hAnsi="Times New Roman"/>
          <w:sz w:val="18"/>
          <w:szCs w:val="18"/>
          <w:color w:val="auto"/>
        </w:rPr>
      </w:pPr>
    </w:p>
    <w:p>
      <w:pPr>
        <w:ind w:left="1000" w:right="80" w:hanging="326"/>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that strategically augment our competitive position, with a focus on sustainable growth and premium returns on invested capital.</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plan to allocate the remaining approximately 50% of operating cash flow to shareholder returns through the form of share repurchases and dividends.</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September 26, 2026, we had approximately $366.5 million of remaining capacity under the share repurchase program. Since the program’s inception in May 2014, we have repurchased approximately 9.3 million shares for a total of $1.7 billion.</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remain committed to maintaining a capital structure that supports our investment-grade credit rating. As of the latest assessments, our credit ratings were Baa2 (stable outlook) by Moody’s Ratings and BBB+ (stable outlook) by S&amp;P Global Ratings. To support these ratings, we aim to manage our debt-to-invested capital ratio within levels that reinforce our investment-grade status.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a supplier finance program with a financial institution, allowing qualifying suppliers the option to sell their receivables from us to the financial institution under independently negotiated terms. Participation in the program is entirely voluntary for suppliers and does not affect our payment terms, amounts, timing, or liquidity. We have no economic interest in a supplier’s decision to participate. As of September 26, 2026 and December 27, 2025, our accounts payable in the Condensed Consolidated Balance Sheets included $61.5 million and $56.3 million, respectively, related to the obligations under this program.</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Sources of Financing</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September 26, 2026, our available debt financing primarily included senior unsecured notes and a revolving credit facility.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26, 2026, our senior unsecured notes consisted of:</w:t>
      </w:r>
    </w:p>
    <w:p>
      <w:pPr>
        <w:spacing w:after="0" w:line="117" w:lineRule="exact"/>
        <w:rPr>
          <w:sz w:val="20"/>
          <w:szCs w:val="20"/>
          <w:color w:val="auto"/>
        </w:rPr>
      </w:pPr>
    </w:p>
    <w:p>
      <w:pPr>
        <w:ind w:left="1000" w:right="140" w:hanging="326"/>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 million face value ($434.9 million carrying value) notes at an interest rate of 5.00% per annum, maturing in October 2044.</w:t>
      </w:r>
    </w:p>
    <w:p>
      <w:pPr>
        <w:spacing w:after="0" w:line="53" w:lineRule="exact"/>
        <w:rPr>
          <w:rFonts w:ascii="Times New Roman" w:cs="Times New Roman" w:eastAsia="Times New Roman" w:hAnsi="Times New Roman"/>
          <w:sz w:val="18"/>
          <w:szCs w:val="18"/>
          <w:color w:val="auto"/>
        </w:rPr>
      </w:pPr>
    </w:p>
    <w:p>
      <w:pPr>
        <w:ind w:left="1000" w:right="140" w:hanging="326"/>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$305.0 million face value ($295.7 million carrying value) notes at an interest rate of 5.25% per annum, maturing in October 2054.</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retain the option to repurchase these notes by paying a make-whole premium. Both tranches are guaranteed by certain subsidiaries.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Our revolving credit facility, managed by JPMorgan Chase Bank, N.A., as Administrative Agent, has a maturity date of July 10, 2030. The facility provides up to $800.0 million in unsecured revolving credit, with $400.0 million available for borrowings in foreign currencies. An additional $400.0 million may be added to the facility, subject to lender commitments.</w:t>
      </w:r>
    </w:p>
    <w:p>
      <w:pPr>
        <w:spacing w:after="0" w:line="158"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Authorized borrowers include the Company and its wholly owned subsidiaries, Valmont Industries Holland B.V. and Valmont Group Pty. Ltd. Obligations under this facility are guaranteed by the Company and its wholly owned subsidiaries, Valmont Telecommunications, Inc., Valmont Coatings, Inc., Valmont Newmark, Inc., and Valmont Queensland Pty. Ltd.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interest rate on our borrowings will be, at our option, either:</w:t>
      </w:r>
    </w:p>
    <w:p>
      <w:pPr>
        <w:spacing w:after="0" w:line="117" w:lineRule="exact"/>
        <w:rPr>
          <w:sz w:val="20"/>
          <w:szCs w:val="20"/>
          <w:color w:val="auto"/>
        </w:rPr>
      </w:pPr>
    </w:p>
    <w:p>
      <w:pPr>
        <w:ind w:left="1320" w:right="40" w:hanging="322"/>
        <w:spacing w:after="0" w:line="266"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Secured Overnight Financing Rate (“SOFR”), based on a one-, three-, or six-month period, and a spread of 100 to 162.5 basis points, depending on our senior unsecured long-term debt credit rating by S&amp;P Global Ratings and Moody’s Ratings;</w:t>
      </w:r>
    </w:p>
    <w:p>
      <w:pPr>
        <w:spacing w:after="0" w:line="6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of</w:t>
      </w:r>
    </w:p>
    <w:p>
      <w:pPr>
        <w:spacing w:after="0" w:line="11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prime lending rate,</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40" w:hanging="318"/>
        <w:spacing w:after="0"/>
        <w:tabs>
          <w:tab w:leader="none" w:pos="1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overnight bank rate plus 50 basis points, or</w:t>
      </w:r>
    </w:p>
    <w:p>
      <w:pPr>
        <w:spacing w:after="0" w:line="117"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(based on a one-month period) plus 100 basis points,</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 each case, 0 to 62.5 basis points, depending on our credit rating; or</w:t>
      </w:r>
    </w:p>
    <w:p>
      <w:pPr>
        <w:spacing w:after="0" w:line="11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and a spread of 100 to 162.5 basis points, depending on our credit rating.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a commitment fee is applied to the average daily unused portion of the facility, ranging from 9 to 20 basis points, based on our credit rating.</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September 26, 2026 and December 27, 2025, we had outstanding borrowings of $25.0 million and $65.0 million, respectively, under this facility. The facility includes a financial covenant that may limit additional borrowing. As of September 26, 2026, we could borrow $774.8 million under the facility, after accounting for $0.2 million in standby letters of credit related to certain insurance obligations.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Covenants and Compliance</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Both our senior unsecured notes and revolving credit facility contain cross-default provisions, which allow for the acceleration of debt if we default on other indebtedness that also permits acceleration.</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revolving credit facility requires us to maintain a financial leverage ratio of 3.50 or lower, measured as of the last day of each fiscal quarter. A temporary increase to 3.75 is permitted for the four fiscal quarters following a material acquisition. The leverage ratio is defined as the ratio of: (a) interest-bearing debt, minus unrestricted cash in excess of $50.0 million (but not exceeding $500.0 million), to (b) earnings before interest, taxes, depreciation, and amortization, adjusted for non-cash stock-based compensation and non-recurring non-cash charges or gains, subject to certain limitations (“Adjusted EBITDA”). Additionally, in the event of an acquisition or divestiture, Adjusted EBITDA is calculated on a pro forma basis, reflecting the transaction as if it had occurred on the first day of the period.</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 covenants restrict activities such as incurring indebtedness, placing liens, engaging in mergers, making investments, selling assets, paying dividends, conducting affiliate transactions, and making debt prepayments. Customary events of default may trigger the acceleration of obligations, subject to grace periods where applicable.</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September 26, 2026, we were in compliance with all covenants related to these debt agreements. For detailed calculations of Adjusted EBITDA and the leverage ratio, please refer to the “Selected Financial Measures” section.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Uses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primary cash needs include working capital, capital expenditures, debt service, taxes, and pension contributions. We may also pursue strategic investments, acquisitions, stock repurchases, or dividends, subject to market conditions and debt agreement restrictions.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operates in cyclical markets, but our diverse portfolio—spanning various products, customers, and regions—has enabled us to navigate these cycles effectively while maintaining liquidity. Historically, we have consistently generated operating cash flows that exceed our capital expenditures, demonstrating our ability to manage cash effectively through economic cycles. For fiscal 2026 and beyond, we are confident in our liquidity position, supported by accessible credit facilities, capital markets, and a solid track record of positive operating cash flows.</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26, 2026, we held $122.0 million in cash, including $110.7 million in non-U.S. subsidiaries. Distributions of this foreign cash would incur tax liabilities. As of September 26, 2026, we had liabilities of $1.9 million for foreign withholding taxes and U.S. state income taxes.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fiscal 2026 capital expenditures to range from $170.0 million to $200.0 million.</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our cash flow information for the thirty-nine weeks ended September 26,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3"/>
        </w:trPr>
        <w:tc>
          <w:tcPr>
            <w:tcW w:w="4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4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1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352,075</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345,243</w:t>
            </w:r>
          </w:p>
        </w:tc>
      </w:tr>
      <w:tr>
        <w:trPr>
          <w:trHeight w:val="20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(121,871)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(104,311)</w:t>
            </w:r>
          </w:p>
        </w:tc>
      </w:tr>
      <w:tr>
        <w:trPr>
          <w:trHeight w:val="20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(186,169)</w:t>
            </w:r>
          </w:p>
        </w:tc>
      </w:tr>
    </w:tbl>
    <w:p>
      <w:pPr>
        <w:spacing w:after="0" w:line="19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Cash Flows and Working Capital </w:t>
      </w:r>
      <w:r>
        <w:rPr>
          <w:rFonts w:ascii="Times New Roman" w:cs="Times New Roman" w:eastAsia="Times New Roman" w:hAnsi="Times New Roman"/>
          <w:sz w:val="18"/>
          <w:szCs w:val="18"/>
          <w:color w:val="auto"/>
        </w:rPr>
        <w:t>– Cash provided by operating activities totaled $352.1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quarters of fiscal 2026, as compared to $345.2 million in the same period of fiscal 2025. The increase in operating cash flows primarily reflected higher net earnings and more favorable working capital activity. Working capital was negatively impacted by increases in contract assets and inventories, but was positively impacted by $40.0 million of cash proceeds from the sale of customer receivables in connection with our accounts receivable factoring program, in addition to increases in accounts payable and contract liabilities. Operating cash flows were also reduced by the $20.3 million settlement payment associated with the former dealer litigation matter in Brazil and benefited from lower cash income tax payments and required pension contributions.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 Cash used in investing activities totaled $121.9 million in the first three quarters of fiscal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$104.3 million in the same period of fiscal 2025. Investing activities in the first three quarters of fiscal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included capital spending of $116.1 million and the acquisition of RMDS Innovation, Inc., net of cash acquired,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million. Investing activities in the first three quarters of fiscal 2025 primarily included capital spending of $104.2 million.</w:t>
      </w:r>
    </w:p>
    <w:p>
      <w:pPr>
        <w:spacing w:after="0" w:line="205" w:lineRule="exact"/>
        <w:rPr>
          <w:sz w:val="20"/>
          <w:szCs w:val="20"/>
          <w:color w:val="auto"/>
        </w:rPr>
      </w:pPr>
    </w:p>
    <w:p>
      <w:pPr>
        <w:jc w:val="both"/>
        <w:ind w:right="38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Financing Cash Flows </w:t>
      </w:r>
      <w:r>
        <w:rPr>
          <w:rFonts w:ascii="Times New Roman" w:cs="Times New Roman" w:eastAsia="Times New Roman" w:hAnsi="Times New Roman"/>
          <w:sz w:val="17"/>
          <w:szCs w:val="17"/>
          <w:color w:val="auto"/>
        </w:rPr>
        <w:t>– Cash used in financing activities totaled $296.0 million in the first three quarters of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as compared to $186.2 million in the same period of fiscal 2025. Our total interest-bearing debt, before unamortized discounts and issuance costs, was $780.6 million as of September 26, 2026 and $829.5 million as of December 27, 2025.</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Financing activities in the first three quarters of fiscal 2026 primarily consisted of borrowings on the revolving credit facility of $120.7 million offset by payments of $160.6 million, dividends paid of $43.1 million, stock repurchases of $199.9 million, and the purchase of a redeemable noncontrolling interest of $8.9 million. Financing activities in the first three quarters of fiscal 2025 primarily consisted of borrowings on the revolving credit facility and short-term notes of $132.8 million, offset by principal payments on our long-term debt and short-term borrowings of $135.0 million, dividends paid of $39.1 million, stock repurchases of $125.8 million, and the purchase of a redeemable noncontrolling interest of $14.6 million following the exercise of put options by the minority shareholders.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Guarantor Summarized Financial Information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information is provided in compliance with Rule 3-10 and Rule 13-01 of Regulation S-X, relating to our two tranches of senior unsecured notes. These senior notes are jointly, severally, fully, and unconditionally guaranteed—subject to certain customary release provisions, including the sale of the subsidiary guarantor or of all or substantially all of its assets—by certain of our current and future direct and indirect domestic and foreign subsidiaries (collectively, the “Guarantors”). Valmont Industries, Inc. (the “Issuer”) is the issuer of the notes and consolidates all Guarantors.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Issuer and Guarantors is presented on a combined basis, with intercompany balances and transactions between the Issuer and the Guarantors eliminated. Any amounts due to or from the Issuer or Guarantors, as well as transactions with non-guarantor subsidiaries, are disclosed separately.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364" w:right="1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combined financial information for the thirteen and thirty-nine weeks ended September 26, 2026 and September 27, 2025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22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186"/>
        </w:trPr>
        <w:tc>
          <w:tcPr>
            <w:tcW w:w="3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240" w:type="dxa"/>
            <w:vAlign w:val="bottom"/>
          </w:tcPr>
          <w:p>
            <w:pPr>
              <w:spacing w:after="0"/>
              <w:rPr>
                <w:sz w:val="16"/>
                <w:szCs w:val="16"/>
                <w:color w:val="auto"/>
              </w:rPr>
            </w:pPr>
          </w:p>
        </w:tc>
        <w:tc>
          <w:tcPr>
            <w:tcW w:w="13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5"/>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836,046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726,916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2,439,841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2,129,488</w:t>
            </w:r>
          </w:p>
        </w:tc>
      </w:tr>
      <w:tr>
        <w:trPr>
          <w:trHeight w:val="203"/>
        </w:trPr>
        <w:tc>
          <w:tcPr>
            <w:tcW w:w="3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720,461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634,920</w:t>
            </w:r>
          </w:p>
        </w:tc>
      </w:tr>
      <w:tr>
        <w:trPr>
          <w:trHeight w:val="203"/>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389,907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270,852</w:t>
            </w:r>
          </w:p>
        </w:tc>
      </w:tr>
      <w:tr>
        <w:trPr>
          <w:trHeight w:val="210"/>
        </w:trPr>
        <w:tc>
          <w:tcPr>
            <w:tcW w:w="3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 attributable to Valmont Industries, Inc.</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183,754</w:t>
            </w:r>
          </w:p>
        </w:tc>
      </w:tr>
    </w:tbl>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combined financial information as of September 26, 2026 and December 27, 2025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ind w:left="55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215"/>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1,013,399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901,456</w:t>
            </w:r>
          </w:p>
        </w:tc>
      </w:tr>
      <w:tr>
        <w:trPr>
          <w:trHeight w:val="20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885,951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851,743</w:t>
            </w:r>
          </w:p>
        </w:tc>
      </w:tr>
      <w:tr>
        <w:trPr>
          <w:trHeight w:val="20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439,829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415,155</w:t>
            </w: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1,350,117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1,241,800</w:t>
            </w:r>
          </w:p>
        </w:tc>
      </w:tr>
    </w:tbl>
    <w:p>
      <w:pPr>
        <w:spacing w:after="0" w:line="19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26, 2026 and December 27, 2025, non-current assets included a receivable from non-guarantor subsidiaries of $84,038 and $83,641, respectively. As of September 26, 2026 and December 27, 2025, non-current liabilities included a payable to non-guarantor subsidiaries of $432,637 and $325,225, respectively.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Measures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leverage ratio is a key financial metric we use to assess our maximum borrowing capacity. It is defined as the ratio of (a) interest-bearing debt, minus unrestricted cash in excess of $50.0 million (but not exceeding $500.0 million), to (b) Adjusted EBITDA. In the event of an acquisition or divestiture, Adjusted EBITDA is calculated on a pro forma basis, reflecting the transaction as if it had occurred on the first day of the period.</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revolving credit facility requires us to maintain a leverage ratio of 3.50 or lower (or 3.75 or lower following certain material acquisitions) on a rolling four-fiscal-quarter basis, measured as of the last day of each fiscal quarter. Failure to comply with this financial covenant may result in higher financing costs or early debt repayment obligations.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leverage ratio and Adjusted EBITDA are non-GAAP financial measures and are not calculated in accordance with accounting principles generally accepted in the United States (“U.S. GAAP”). These measures may not be directly comparable to similarly titled measures used by other companies and should not be considered in isolation or as a substitute for net earnings, cash flows from operations, or other income or cash flow data prepared in accordance with U.S. GAAP. Additionally, they should not be interpreted as indicators of operating performance or liquidity.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364" w:right="1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calculation of Adjusted EBITDA for the four fiscal quarters ended September 26, 2026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ind w:left="6980"/>
              <w:spacing w:after="0"/>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Four fiscal quarters ended</w:t>
            </w:r>
          </w:p>
        </w:tc>
      </w:tr>
      <w:tr>
        <w:trPr>
          <w:trHeight w:val="186"/>
        </w:trPr>
        <w:tc>
          <w:tcPr>
            <w:tcW w:w="7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20" w:type="dxa"/>
            <w:vAlign w:val="bottom"/>
          </w:tcPr>
          <w:p>
            <w:pPr>
              <w:spacing w:after="0"/>
              <w:rPr>
                <w:sz w:val="16"/>
                <w:szCs w:val="16"/>
                <w:color w:val="auto"/>
              </w:rPr>
            </w:pPr>
          </w:p>
        </w:tc>
      </w:tr>
      <w:tr>
        <w:trPr>
          <w:trHeight w:val="215"/>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r>
      <w:tr>
        <w:trPr>
          <w:trHeight w:val="19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463,316</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38,293</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61,286</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 to defined benefit pension plan</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191,076</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20" w:type="dxa"/>
            <w:vAlign w:val="bottom"/>
          </w:tcPr>
          <w:p>
            <w:pPr>
              <w:spacing w:after="0"/>
              <w:rPr>
                <w:sz w:val="17"/>
                <w:szCs w:val="17"/>
                <w:color w:val="auto"/>
              </w:rPr>
            </w:pPr>
          </w:p>
        </w:tc>
      </w:tr>
      <w:tr>
        <w:trPr>
          <w:trHeight w:val="20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Realignment activities</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20" w:type="dxa"/>
            <w:vAlign w:val="bottom"/>
          </w:tcPr>
          <w:p>
            <w:pPr>
              <w:spacing w:after="0"/>
              <w:rPr>
                <w:sz w:val="17"/>
                <w:szCs w:val="17"/>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 forma acquisition adjustment</w:t>
            </w:r>
          </w:p>
        </w:tc>
        <w:tc>
          <w:tcPr>
            <w:tcW w:w="2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20" w:type="dxa"/>
            <w:vAlign w:val="bottom"/>
          </w:tcPr>
          <w:p>
            <w:pPr>
              <w:spacing w:after="0"/>
              <w:rPr>
                <w:sz w:val="17"/>
                <w:szCs w:val="17"/>
                <w:color w:val="auto"/>
              </w:rPr>
            </w:pPr>
          </w:p>
        </w:tc>
      </w:tr>
      <w:tr>
        <w:trPr>
          <w:trHeight w:val="196"/>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753,040</w:t>
            </w:r>
          </w:p>
        </w:tc>
        <w:tc>
          <w:tcPr>
            <w:tcW w:w="20" w:type="dxa"/>
            <w:vAlign w:val="bottom"/>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Four fiscal quarters ended</w:t>
            </w:r>
          </w:p>
        </w:tc>
      </w:tr>
      <w:tr>
        <w:trPr>
          <w:trHeight w:val="183"/>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September 26,</w:t>
            </w:r>
          </w:p>
        </w:tc>
      </w:tr>
      <w:tr>
        <w:trPr>
          <w:trHeight w:val="215"/>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19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earnings attributable to Valmont Industries, Inc.</w:t>
            </w:r>
          </w:p>
        </w:tc>
        <w:tc>
          <w:tcPr>
            <w:tcW w:w="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517,005</w:t>
            </w:r>
          </w:p>
        </w:tc>
      </w:tr>
      <w:tr>
        <w:trPr>
          <w:trHeight w:val="20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38,293</w:t>
            </w:r>
          </w:p>
        </w:tc>
      </w:tr>
      <w:tr>
        <w:trPr>
          <w:trHeight w:val="20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61,286</w:t>
            </w:r>
          </w:p>
        </w:tc>
      </w:tr>
      <w:tr>
        <w:trPr>
          <w:trHeight w:val="20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95,940</w:t>
            </w:r>
          </w:p>
        </w:tc>
      </w:tr>
      <w:tr>
        <w:trPr>
          <w:trHeight w:val="20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22,585</w:t>
            </w:r>
          </w:p>
        </w:tc>
      </w:tr>
      <w:tr>
        <w:trPr>
          <w:trHeight w:val="202"/>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9,629</w:t>
            </w:r>
          </w:p>
        </w:tc>
      </w:tr>
      <w:tr>
        <w:trPr>
          <w:trHeight w:val="20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Realignment activities</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03"/>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 forma acquisition adjustment</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w:t>
            </w:r>
          </w:p>
        </w:tc>
      </w:tr>
      <w:tr>
        <w:trPr>
          <w:trHeight w:val="196"/>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753,040</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calculation of the leverage ratio as of September 26, 2026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ind w:left="69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16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26,</w:t>
            </w:r>
          </w:p>
        </w:tc>
      </w:tr>
      <w:tr>
        <w:trPr>
          <w:trHeight w:val="215"/>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9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debt, excluding origination fees and discounts of $24,335</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780,628</w:t>
            </w:r>
          </w:p>
        </w:tc>
      </w:tr>
      <w:tr>
        <w:trPr>
          <w:trHeight w:val="203"/>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Cash and cash equivalents in excess of $50,000</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72,045</w:t>
            </w:r>
          </w:p>
        </w:tc>
      </w:tr>
      <w:tr>
        <w:trPr>
          <w:trHeight w:val="19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indebtedness</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708,583</w:t>
            </w:r>
          </w:p>
        </w:tc>
      </w:tr>
      <w:tr>
        <w:trPr>
          <w:trHeight w:val="20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753,040</w:t>
            </w:r>
          </w:p>
        </w:tc>
      </w:tr>
      <w:tr>
        <w:trPr>
          <w:trHeight w:val="20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Leverage ratio</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OBLIGATIONS AND COMMITMENTS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in the Company’s financial obligations and commitments during the thirty-nine weeks ended September 26, 2026. For additional information on the Company’s financial obligations and commitments, refer to the “Cash Uses” section in Part II, Item 7 of the Company’s Annual Report on Form 10-K for the fiscal year ended December 27,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accounting policies described below involve significant judgments and estimates that are used in preparing our Consolidated Financial Statements. Management exercises substantial judgment in determining these estimates, which are essential to our financial reporting. The key areas that involve such estimates include impairments of goodwill and other intangible assets, income taxes, revenue recognition for our Infrastructure product lines recognized over time, and inventory obsolescence. These estimates are based on our past experiences and other assumptions that we believe to be reasonable given the circumstances.</w:t>
      </w:r>
    </w:p>
    <w:p>
      <w:pPr>
        <w:sectPr>
          <w:pgSz w:w="11900" w:h="16838" w:orient="portrait"/>
          <w:cols w:equalWidth="0" w:num="1">
            <w:col w:w="9260"/>
          </w:cols>
          <w:pgMar w:left="1320" w:top="36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0"/>
          </w:cols>
          <w:pgMar w:left="1320" w:top="364" w:right="1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continually re-evaluate these estimates as circumstances evolve, understanding that actual results may differ due to changes in assumptions or conditions. To ensure accuracy and transparency in our financial reporting, the selection and application of our critical accounting policies are reviewed annually by our Audit Committee.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Other than the below, there were no material changes in the Company’s critical accounting estimates during the thirty-nine weeks ended September 26, 2026. For additional information on the Company’s critical accounting estimates, refer to the “Critical Accounting Estimates” section in Part II, Item 7 of the Company’s Annual Report on Form 10-K for the fiscal year ended December 27, 2025.</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Intangible Assets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annually during the third fiscal quarter, aligning this assessment with our strategic planning process. For the fiscal 2026 annual goodwill impairment test, we estimated the fair value of the eleven reporting units with recorded goodwill using a discounted cash flow model. This model factors in projected after-tax cash flows from operations, net of capital expenditures, discounted to their present value. Additionally, we perform sensitivity analyses to assess the impact of changes in key assumptions, such as discount rates and cash flow forecasts, on the valuation of the reporting units. For the fiscal 2026 annual impairment testing, the estimated fair value of each reporting unit with recorded goodwill exceeded its carrying value.</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operating results of our reporting units may be affected by cyclical economic conditions and may fluctuate from period to period. For our APAC Highway Safety and EMEA Structures reporting units, which had a combined goodwill of approximately $42.3 million as of September 26, 2026, the estimated fair value of each reporting unit exceeded its carrying value by less than 15% as of the most recent impairment test. We believe these reporting units will generate positive cash flows that meet or exceed their current carrying values, and we will continue to monitor their growth prospects and opportunities for continuous improvement.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discount rate is a key assumption in our goodwill impairment analyses, as it reflects management’s assessment of the time value of money and the risks inherent in each reporting unit’s projected cash flows. The U.S. market participant weighted average cost of capital used as the baseline for developing the discount rates was 10.90%. The discount rates applied to individual reporting units were then adjusted, as applicable, for a country-specific risk premium based on each reporting unit’s geographic revenue mix in addition to a company-specific risk premium to account for uncertainty associated with projected future cash flows. Management believes that a hypothetical increase of 50 basis points in the discount rate, considered in isolation, would not have resulted in an impairment for any reporting unit as of the testing date. However, changes in multiple assumptions simultaneously, or adverse changes in future operating performance or market conditions, could significantly impact the estimated fair values of our reporting units.</w:t>
      </w:r>
    </w:p>
    <w:p>
      <w:pPr>
        <w:spacing w:after="0" w:line="188"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actively monitor the global economy for potential factors that could impact the operating results of our reporting units. Should adverse conditions arise, we will conduct an impairment test for any affected reporting units prior to our annual testing. When evaluating reporting units, we focus on their long-term prospects, recognizing that current performance may not always be indicative of future value, which requires management judgment, particularly regarding cash flow projections.</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fiscal 2025 and fiscal 2026, there were no changes to the composition of our reporting units. However, the number of reporting units with recorded goodwill decreased from twelve to eleven during fiscal 2025 as a result of the full impairment of goodwill associated with our Solar reporting unit in the second quarter.</w:t>
      </w:r>
    </w:p>
    <w:p>
      <w:pPr>
        <w:spacing w:after="0" w:line="17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periodically reassess our reporting unit structure based on changes in how the business is managed, including changes in organizational structure, leadership, and the manner in which financial information is reviewed by segment management. Determining reporting units requires judgment, including evaluating the level at which discrete financial information is available and regularly reviewed by segment management, how components of the business are organized and managed, and whether components of the business share similar economic characteristics.</w:t>
      </w:r>
    </w:p>
    <w:p>
      <w:pPr>
        <w:spacing w:after="0" w:line="1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same considerations directly inform how acquired assets, liabilities, and goodwill are assigned or reallocated to reporting units. Specifically, items are assigned based on how the underlying operations are organized and how financial results are reviewed by segment management, including whether assets and liabilities are specifically identifiable to a reporting unit or are shared across reporting units.</w:t>
      </w:r>
    </w:p>
    <w:p>
      <w:pPr>
        <w:spacing w:after="0" w:line="180" w:lineRule="exact"/>
        <w:rPr>
          <w:sz w:val="20"/>
          <w:szCs w:val="20"/>
          <w:color w:val="auto"/>
        </w:rPr>
      </w:pPr>
    </w:p>
    <w:p>
      <w:pPr>
        <w:ind w:right="600" w:firstLine="648"/>
        <w:spacing w:after="0" w:line="312" w:lineRule="auto"/>
        <w:rPr>
          <w:sz w:val="20"/>
          <w:szCs w:val="20"/>
          <w:color w:val="auto"/>
        </w:rPr>
      </w:pPr>
      <w:r>
        <w:rPr>
          <w:rFonts w:ascii="Times New Roman" w:cs="Times New Roman" w:eastAsia="Times New Roman" w:hAnsi="Times New Roman"/>
          <w:sz w:val="17"/>
          <w:szCs w:val="17"/>
          <w:color w:val="auto"/>
        </w:rPr>
        <w:t>In the first quarter of fiscal 2024, we reorganized certain operations within our Agriculture reportable segment. Specifically, the former Agriculture Technology reporting unit was integrated into the North America Irrigation and</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International Irrigation reporting units. This reorganization was driven by changes in senior leadership and a strategic determination that technology offerings are integral to the underlying irrigation equipment business rather than a separate independent line of business, which also resulted in a change to the manner in which discrete financial information is reviewed by segment management. Accordingly, management concluded that the Agriculture Technology operations no longer constituted a separate reporting unit.</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reorganization, we performed goodwill impairment assessments immediately before and after the reorganization and concluded that no impairment existed. This assessment reflected improved cash flow forecasts relative to the prior annual impairment test, primarily due to restructuring actions undertaken in the fourth quarter of fiscal 2023.</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assets and liabilities (excluding goodwill) of the former Agriculture Technology reporting unit were reassigned to the North America Irrigation and International Irrigation reporting units in a manner consistent with how the underlying operations and financial information are managed and reviewed by segment management following the reorganization. Assets and liabilities that were specifically identifiable to a reporting unit were directly assigned. For assets and liabilities that were not specifically identifiable, amounts were reallocated based on the reorganization of the business and the revised internal reporting structure used by segment management.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Goodwill of approximately $168.0 million, which includes the goodwill associated with our former Prospera business, was then allocated to these reporting units using a relative fair value approach in accordance with ASC 350-20-35-45. This approach was used because goodwill does not represent separately identifiable assets and must be reallocated based on the relative fair values of the reporting units expected to benefit from the reorganization. The estimated fair values were derived from projected revenues and cash flows of the respective reporting units. Accordingly, goodwill associated with the former Prospera business is included within these reporting units.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fiscal 2025, management elected to abandon the use of Prospera’s proprietary technology and initiated actions to exit the business. Management performed a qualitative assessment and concluded that no triggering event existed, as the decision did not materially affect the expected future cash flows of the reporting units and no indicators were present that it was more likely than not that the fair value of any reporting unit was below its carrying amount prior to the annual impairment test. Accordingly, no after-tax cash flows associated with Prospera were included in the projected cash flows used in our fiscal 2025 annual goodwill impairment test, reflecting management’s expectation at the time of the annual test that Prospera would not contribute to the future operating performance of the reporting units.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2025, we completed a legal entity reorganization that resulted in a deemed liquidation of the Prospera business. Because the fiscal 2025 annual goodwill impairment test had already excluded Prospera-related cash flows, management concluded that the subsequent decision by the Board of Directors to formally exit the business and abandon its technology did not represent a change in the assumptions used in the annual impairment test. Accordingly, this event did not constitute a triggering event requiring an interim goodwill impairment assessment under ASC 350-20-35-30.</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indefinite-lived intangible assets primarily consist of trade names, which are tested separately from goodwill. We use the relief-from-royalty method to value these assets, calculating the potential royalty a third party might pay to use the trade name, which is then discounted to present value and tax-effected. For the fiscal 2026 annual impairment testing, the estimated fair values of our trade names exceeded their respective carrying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Company’s market risk during the thirty-nine weeks ended September 26, 2026. For additional information on the Company’s market risk, refer to Part II, Item 7A of the Company’s Annual Report on Form 10-K for the fiscal year ended December 27,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Company, under the supervision and with the participation of management—including the Chief Executive Officer (“CEO”) and Chief Financial Officer (“CFO”)—conducted an evaluation of the effectiveness of the design and operation of its disclosure controls and procedures, as defined in Rule 13a-15(e) under the Securities Exchange Act of 1934, as amended.</w:t>
      </w:r>
    </w:p>
    <w:p>
      <w:pPr>
        <w:sectPr>
          <w:pgSz w:w="11900" w:h="16838" w:orient="portrait"/>
          <w:cols w:equalWidth="0" w:num="1">
            <w:col w:w="9240"/>
          </w:cols>
          <w:pgMar w:left="1320" w:top="3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4" w:right="1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Based on this evaluation, the CEO and CFO concluded that, as of the end of the period covered by this report, the Company’s disclosure controls and procedures are effective in providing reasonable assurance that the information required to be disclosed by the Company in its reports under the Securities Exchange Act of 1934 is (1) accumulated and communicated to management, including the CEO and CFO, to enable timely decisions regarding required disclosures and (2) recorded, processed, summarized, and reported within the periods specified by the Commission’s rules and forms.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fiscal quarter covered by this report that have materially affected, or are reasonably likely to affect materially,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60"/>
          </w:cols>
          <w:pgMar w:left="1320" w:top="364" w:right="1419" w:bottom="1440" w:gutter="0" w:footer="0" w:header="0"/>
        </w:sectPr>
      </w:pPr>
    </w:p>
    <w:bookmarkStart w:id="34" w:name="page35"/>
    <w:bookmarkEnd w:id="34"/>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1" w:right="46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Company’s legal proceedings, refer to Part I, Item 3 of the Company’s Annual Report on Form 10-K for the fiscal year ended December 27, 2025, and Note 14 to the Condensed Consolidated Financial Statements contained in this Quarterly Report on Form 10-Q.</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1" w:right="40" w:firstLine="648"/>
        <w:spacing w:after="0" w:line="225" w:lineRule="exact"/>
        <w:rPr>
          <w:sz w:val="20"/>
          <w:szCs w:val="20"/>
          <w:color w:val="auto"/>
        </w:rPr>
      </w:pPr>
      <w:r>
        <w:rPr>
          <w:rFonts w:ascii="Times New Roman" w:cs="Times New Roman" w:eastAsia="Times New Roman" w:hAnsi="Times New Roman"/>
          <w:sz w:val="18"/>
          <w:szCs w:val="18"/>
          <w:color w:val="auto"/>
        </w:rPr>
        <w:t>There were no material changes in the Company’s risk factors during the thirty-nine weeks ended September 26, 2026. For additional information on the Company’s risk factors, refer to Part I, Item 1A of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27, 2025.</w:t>
      </w:r>
    </w:p>
    <w:p>
      <w:pPr>
        <w:spacing w:after="0" w:line="1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16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3"/>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under the plans</w:t>
            </w:r>
          </w:p>
        </w:tc>
      </w:tr>
      <w:tr>
        <w:trPr>
          <w:trHeight w:val="215"/>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purchased</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or programs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 (1)</w:t>
            </w:r>
          </w:p>
        </w:tc>
      </w:tr>
      <w:tr>
        <w:trPr>
          <w:trHeight w:val="199"/>
        </w:trPr>
        <w:tc>
          <w:tcPr>
            <w:tcW w:w="3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June 28, 2026 to July 25, 2026</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34,964</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528.27</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432,089,000</w:t>
            </w:r>
          </w:p>
        </w:tc>
      </w:tr>
      <w:tr>
        <w:trPr>
          <w:trHeight w:val="20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July 26, 2026 to August 29, 2026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399,563,000</w:t>
            </w:r>
          </w:p>
        </w:tc>
      </w:tr>
      <w:tr>
        <w:trPr>
          <w:trHeight w:val="20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August 30, 2026 to September 26, 2026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366,540,000</w:t>
            </w:r>
          </w:p>
        </w:tc>
      </w:tr>
      <w:tr>
        <w:trPr>
          <w:trHeight w:val="196"/>
        </w:trPr>
        <w:tc>
          <w:tcPr>
            <w:tcW w:w="3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171,271</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490.55</w:t>
            </w:r>
          </w:p>
        </w:tc>
        <w:tc>
          <w:tcPr>
            <w:tcW w:w="1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366,540,000</w:t>
            </w: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1" w:right="20" w:hanging="321"/>
        <w:spacing w:after="0" w:line="256" w:lineRule="auto"/>
        <w:tabs>
          <w:tab w:leader="none" w:pos="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Board of Directors increased the authorized capacity under our share repurchase program by $700.0 million, bringing the total authorization to $2.1 billion, with no stated expiration date. We are not obligated to make repurchases and may discontinue the program at any time. Any purchases will be funded through available liquidity and ongoing cash flows, and will be made subject to prevailing market and economic conditions. As of September 26, 2026, we had approximately $366.5 million of remaining capacity under the share repurchase program. Since the program’s inception in May 2014, we have repurchased approximately 9.3 million shares for a total of $1.7 billion.</w:t>
      </w:r>
    </w:p>
    <w:p>
      <w:pPr>
        <w:spacing w:after="0" w:line="1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880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364" w:right="1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20"/>
        <w:spacing w:after="0"/>
        <w:tabs>
          <w:tab w:leader="none" w:pos="47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5715</wp:posOffset>
            </wp:positionV>
            <wp:extent cx="5177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ind w:left="1100" w:hanging="791"/>
        <w:spacing w:after="0" w:line="255"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22.1</w:t>
      </w:r>
      <w:r>
        <w:rPr>
          <w:sz w:val="20"/>
          <w:szCs w:val="20"/>
          <w:color w:val="auto"/>
        </w:rPr>
        <w:tab/>
      </w:r>
      <w:hyperlink r:id="rId74">
        <w:r>
          <w:rPr>
            <w:rFonts w:ascii="Times New Roman" w:cs="Times New Roman" w:eastAsia="Times New Roman" w:hAnsi="Times New Roman"/>
            <w:sz w:val="18"/>
            <w:szCs w:val="18"/>
            <w:u w:val="single" w:color="auto"/>
            <w:color w:val="0000EE"/>
          </w:rPr>
          <w:t>List of Issuer and Guarantor Subsidiaries. This document was filed as Exhibit 22.1 to the Company’s Quarterly</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Report on Form 10-Q (Commission file number 001-31429) for the fiscal quarter ended September 25, 2021 and</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is incorporated herein by reference.</w:t>
        </w:r>
      </w:hyperlink>
    </w:p>
    <w:p>
      <w:pPr>
        <w:spacing w:after="0" w:line="2" w:lineRule="exact"/>
        <w:rPr>
          <w:rFonts w:ascii="Times New Roman" w:cs="Times New Roman" w:eastAsia="Times New Roman" w:hAnsi="Times New Roman"/>
          <w:sz w:val="18"/>
          <w:szCs w:val="18"/>
          <w:u w:val="single" w:color="auto"/>
          <w:color w:val="0000EE"/>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Section 302 Certification of the Chief Executive Officer</w:t>
      </w:r>
      <w:r>
        <w:rPr>
          <w:rFonts w:ascii="Times New Roman" w:cs="Times New Roman" w:eastAsia="Times New Roman" w:hAnsi="Times New Roman"/>
          <w:sz w:val="17"/>
          <w:szCs w:val="17"/>
          <w:color w:val="000000"/>
        </w:rPr>
        <w:t>.</w:t>
      </w:r>
    </w:p>
    <w:p>
      <w:pPr>
        <w:spacing w:after="0" w:line="9" w:lineRule="exact"/>
        <w:rPr>
          <w:rFonts w:ascii="Times New Roman" w:cs="Times New Roman" w:eastAsia="Times New Roman" w:hAnsi="Times New Roman"/>
          <w:sz w:val="18"/>
          <w:szCs w:val="18"/>
          <w:u w:val="single" w:color="auto"/>
          <w:color w:val="0000EE"/>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Section 302 Certification of the Chief Financial Officer</w:t>
      </w:r>
      <w:r>
        <w:rPr>
          <w:rFonts w:ascii="Times New Roman" w:cs="Times New Roman" w:eastAsia="Times New Roman" w:hAnsi="Times New Roman"/>
          <w:sz w:val="17"/>
          <w:szCs w:val="17"/>
          <w:color w:val="000000"/>
        </w:rPr>
        <w:t>.</w:t>
      </w:r>
    </w:p>
    <w:p>
      <w:pPr>
        <w:spacing w:after="0" w:line="9" w:lineRule="exact"/>
        <w:rPr>
          <w:rFonts w:ascii="Times New Roman" w:cs="Times New Roman" w:eastAsia="Times New Roman" w:hAnsi="Times New Roman"/>
          <w:sz w:val="18"/>
          <w:szCs w:val="18"/>
          <w:u w:val="single" w:color="auto"/>
          <w:color w:val="0000EE"/>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Section 906 Certifications.</w:t>
      </w:r>
    </w:p>
    <w:p>
      <w:pPr>
        <w:spacing w:after="0" w:line="9" w:lineRule="exact"/>
        <w:rPr>
          <w:rFonts w:ascii="Times New Roman" w:cs="Times New Roman" w:eastAsia="Times New Roman" w:hAnsi="Times New Roman"/>
          <w:sz w:val="18"/>
          <w:szCs w:val="18"/>
          <w:u w:val="single" w:color="auto"/>
          <w:color w:val="0000EE"/>
        </w:rPr>
      </w:pPr>
    </w:p>
    <w:p>
      <w:pPr>
        <w:ind w:left="1100" w:right="200" w:hanging="776"/>
        <w:spacing w:after="0" w:line="265" w:lineRule="auto"/>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Valmont’s Quarterly Report on Form 10-Q for the quarter ended September 26, 2026, formatted in Inline XBRL (eXtensible Business Reporting Language): (i) the Condensed Consolidated Statements of Earnings, (ii) the Condensed Consolidated Statements of Comprehensive Income, (iii) the Condensed Consolidated Balance Sheets, (iv) the Condensed Consolidated Statements of Cash Flows,</w:t>
      </w:r>
    </w:p>
    <w:p>
      <w:pPr>
        <w:spacing w:after="0" w:line="1" w:lineRule="exact"/>
        <w:rPr>
          <w:rFonts w:ascii="Times New Roman" w:cs="Times New Roman" w:eastAsia="Times New Roman" w:hAnsi="Times New Roman"/>
          <w:sz w:val="18"/>
          <w:szCs w:val="18"/>
          <w:u w:val="single" w:color="auto"/>
          <w:color w:val="0000EE"/>
        </w:rPr>
      </w:pPr>
    </w:p>
    <w:p>
      <w:pPr>
        <w:ind w:left="1340" w:hanging="246"/>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Shareholders’ Equity and Redeemable Noncontrolling Interests,</w:t>
      </w:r>
    </w:p>
    <w:p>
      <w:pPr>
        <w:spacing w:after="0" w:line="9" w:lineRule="exact"/>
        <w:rPr>
          <w:rFonts w:ascii="Times New Roman" w:cs="Times New Roman" w:eastAsia="Times New Roman" w:hAnsi="Times New Roman"/>
          <w:sz w:val="18"/>
          <w:szCs w:val="18"/>
          <w:color w:val="auto"/>
        </w:rPr>
      </w:pPr>
    </w:p>
    <w:p>
      <w:pPr>
        <w:ind w:left="1400" w:hanging="306"/>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and (vii) document and entity information.</w:t>
      </w:r>
    </w:p>
    <w:p>
      <w:pPr>
        <w:spacing w:after="0" w:line="9" w:lineRule="exact"/>
        <w:rPr>
          <w:rFonts w:ascii="Times New Roman" w:cs="Times New Roman" w:eastAsia="Times New Roman" w:hAnsi="Times New Roman"/>
          <w:sz w:val="18"/>
          <w:szCs w:val="18"/>
          <w:u w:val="single" w:color="auto"/>
          <w:color w:val="0000EE"/>
        </w:rPr>
      </w:pPr>
    </w:p>
    <w:p>
      <w:pPr>
        <w:ind w:right="1980" w:firstLine="324"/>
        <w:spacing w:after="0" w:line="511" w:lineRule="auto"/>
        <w:tabs>
          <w:tab w:leader="none" w:pos="10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(formatted as Inline XBRL and contained in Exhibit 101) * 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0"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364" w:right="1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and by the undersigned thereunto duly authorized.</w:t>
      </w:r>
    </w:p>
    <w:p>
      <w:pPr>
        <w:spacing w:after="0" w:line="1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VALMONT INDUSTRIES, INC.</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JOHN SCHWIETZ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17145</wp:posOffset>
            </wp:positionV>
            <wp:extent cx="29317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John Schwietz</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Dated the 27th day of October 2026.</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364"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Avner M. Applbaum,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26, 2026 of Valmont Industries,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right="100" w:hanging="644"/>
        <w:spacing w:after="0" w:line="289" w:lineRule="auto"/>
        <w:tabs>
          <w:tab w:leader="none" w:pos="13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48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AVNER M.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Avner M. Applbaum</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Schwietz,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26, 2026 of Valmont Industries,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right="100" w:hanging="644"/>
        <w:spacing w:after="0" w:line="289" w:lineRule="auto"/>
        <w:tabs>
          <w:tab w:leader="none" w:pos="13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48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JOHN SCHWIETZ</w:t>
      </w:r>
    </w:p>
    <w:p>
      <w:pPr>
        <w:spacing w:after="0" w:line="3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Schwietz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-118745</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Avner M. Applbaum, President and Chief Executive Officer of Valmont Industries, Inc. (the “Company”), has executed this certification in connection with the filing of the Company’s Quarterly Report on Form 10-Q for the quarter ended September 26, 2026 (the “Report”) with the Securities and Exchange Commission.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pursuant to 18 U.S.C. Section 1350, as adopted pursuant to Section 906 of the Sarbanes-Oxley Act of 2002, to the best of his knowledge that:</w:t>
      </w:r>
    </w:p>
    <w:p>
      <w:pPr>
        <w:spacing w:after="0" w:line="16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the 27th day of October 2026.</w:t>
      </w:r>
    </w:p>
    <w:p>
      <w:pPr>
        <w:spacing w:after="0" w:line="2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AVNER M. APPLBAUM</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Avner M.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-118745</wp:posOffset>
            </wp:positionV>
            <wp:extent cx="3145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undersigned, John Schwietz, Executive Vice President and Chief Financial Officer of Valmont Industries, Inc. (the “Company”), has executed this certification in connection with the filing of the Company’s Quarterly Report on Form 10-Q for the quarter ended September 26, 2026 (the “Report”) with the Securities and Exchange Commission.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pursuant to 18 U.S.C. Section 1350, as adopted pursuant to Section 906 of the Sarbanes-Oxley Act of 2002, to the best of his knowledge that:</w:t>
      </w:r>
    </w:p>
    <w:p>
      <w:pPr>
        <w:spacing w:after="0" w:line="162"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the 27th day of October 2026.</w:t>
      </w:r>
    </w:p>
    <w:p>
      <w:pPr>
        <w:spacing w:after="0" w:line="25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JOHN SCHWIETZ</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John Schwietz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-118745</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2"/>
    </w:lvl>
    <w:lvl w:ilvl="1">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1"/>
    </w:lvl>
  </w:abstractNum>
  <w:abstractNum w:abstractNumId="12">
    <w:nsid w:val="41A7C4C9"/>
    <w:multiLevelType w:val="hybridMultilevel"/>
    <w:lvl w:ilvl="0">
      <w:lvlJc w:val="left"/>
      <w:lvlText w:val="(%1)"/>
      <w:numFmt w:val="lowerRoman"/>
      <w:start w:val="5"/>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4" Type="http://schemas.openxmlformats.org/officeDocument/2006/relationships/hyperlink" Target="https://www.sec.gov/Archives/edgar/data/102729/000010272921000055/vmi-ex221_20210925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2026-10-27T10:45:34Z</dcterms:created>
  <dcterms:modified xsi:type="dcterms:W3CDTF">2026-10-27T10:45:34Z</dcterms:modified>
</cp:coreProperties>
</file>