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pPr>
      <w:bookmarkStart w:id="0" w:name="vmi-20260721x8k.htm"/>
      <w:bookmarkStart w:id="1" w:name="ksvmi20260721x8k"/>
      <w:bookmarkEnd w:id="0"/>
      <w:bookmarkEnd w:id="1"/>
      <w:r>
        <w:rPr/>
        <w:t>​</w:t>
      </w:r>
    </w:p>
    <w:p>
      <w:pPr>
        <w:pStyle w:val="TextBody"/>
        <w:pBdr>
          <w:top w:val="single" w:sz="18"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120" w:after="0"/>
        <w:ind w:left="0" w:right="0" w:hanging="0"/>
        <w:jc w:val="center"/>
        <w:rPr>
          <w:rFonts w:ascii="Times New Roman;Times;serif" w:hAnsi="Times New Roman;Times;serif"/>
          <w:b/>
          <w:sz w:val="20"/>
        </w:rPr>
      </w:pPr>
      <w:bookmarkStart w:id="2" w:name="_0755f3dd_95fb_4761_91ff_c18112072eb9"/>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12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CURRENT REPORT</w:t>
      </w:r>
    </w:p>
    <w:p>
      <w:pPr>
        <w:pStyle w:val="TextBody"/>
        <w:bidi w:val="0"/>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Pursuant to Section 13 OR 15(d) of The Securities Exchange Act of 1934</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July 21, 2026</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Date of Report (Date of earliest event reported)</w:t>
      </w:r>
    </w:p>
    <w:p>
      <w:pPr>
        <w:pStyle w:val="TextBody"/>
        <w:bidi w:val="0"/>
        <w:spacing w:before="120" w:after="0"/>
        <w:ind w:left="0" w:right="0" w:hanging="0"/>
        <w:jc w:val="center"/>
        <w:rPr>
          <w:rFonts w:ascii="Times New Roman;Times;serif" w:hAnsi="Times New Roman;Times;serif"/>
          <w:b/>
          <w:sz w:val="32"/>
        </w:rPr>
      </w:pPr>
      <w:r>
        <w:rPr>
          <w:rFonts w:ascii="Times New Roman;Times;serif" w:hAnsi="Times New Roman;Times;serif"/>
          <w:b/>
          <w:sz w:val="32"/>
        </w:rPr>
        <w:t>Valmont Industries, Inc.</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w:t>
      </w:r>
    </w:p>
    <w:p>
      <w:pPr>
        <w:pStyle w:val="Normal"/>
        <w:bidi w:val="0"/>
        <w:spacing w:before="0" w:after="0"/>
        <w:jc w:val="left"/>
        <w:rPr>
          <w:sz w:val="4"/>
          <w:szCs w:val="4"/>
        </w:rPr>
      </w:pPr>
      <w:r>
        <w:rPr>
          <w:sz w:val="4"/>
          <w:szCs w:val="4"/>
        </w:rPr>
      </w:r>
      <w:bookmarkStart w:id="3" w:name="Tc_r7C2dul_sUqIHMCnHJMBtg_5_2"/>
      <w:bookmarkStart w:id="4" w:name="Tc_r-eOctsxzEyj0yY7VzHHkA_5_0"/>
      <w:bookmarkStart w:id="5" w:name="Tc_f_ZB4GaNl0WrcRfBmHgXZA_4_0"/>
      <w:bookmarkStart w:id="6" w:name="Tc_3ovfupbIGEucA2Wg0Tpv2w_1_2"/>
      <w:bookmarkStart w:id="7" w:name="Tc_7dCV2CthsU6jB38vyecUwQ_1_0"/>
      <w:bookmarkStart w:id="8" w:name="_af10134d_f9af_460e_a7b5_077e439465fc"/>
      <w:bookmarkStart w:id="9" w:name="Tc_r7C2dul_sUqIHMCnHJMBtg_5_2"/>
      <w:bookmarkStart w:id="10" w:name="Tc_r-eOctsxzEyj0yY7VzHHkA_5_0"/>
      <w:bookmarkStart w:id="11" w:name="Tc_f_ZB4GaNl0WrcRfBmHgXZA_4_0"/>
      <w:bookmarkStart w:id="12" w:name="Tc_3ovfupbIGEucA2Wg0Tpv2w_1_2"/>
      <w:bookmarkStart w:id="13" w:name="Tc_7dCV2CthsU6jB38vyecUwQ_1_0"/>
      <w:bookmarkStart w:id="14" w:name="_af10134d_f9af_460e_a7b5_077e439465fc"/>
      <w:bookmarkEnd w:id="9"/>
      <w:bookmarkEnd w:id="10"/>
      <w:bookmarkEnd w:id="11"/>
      <w:bookmarkEnd w:id="12"/>
      <w:bookmarkEnd w:id="13"/>
      <w:bookmarkEnd w:id="14"/>
    </w:p>
    <w:tbl>
      <w:tblPr>
        <w:tblW w:w="5511" w:type="dxa"/>
        <w:jc w:val="left"/>
        <w:tblInd w:w="0" w:type="dxa"/>
        <w:tblLayout w:type="fixed"/>
        <w:tblCellMar>
          <w:top w:w="0" w:type="dxa"/>
          <w:left w:w="0" w:type="dxa"/>
          <w:bottom w:w="0" w:type="dxa"/>
          <w:right w:w="0" w:type="dxa"/>
        </w:tblCellMar>
      </w:tblPr>
      <w:tblGrid>
        <w:gridCol w:w="2866"/>
        <w:gridCol w:w="109"/>
        <w:gridCol w:w="2536"/>
      </w:tblGrid>
      <w:tr>
        <w:trPr/>
        <w:tc>
          <w:tcPr>
            <w:tcW w:w="28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1-31429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5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47-0351813</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w:t>
            </w:r>
          </w:p>
        </w:tc>
        <w:tc>
          <w:tcPr>
            <w:tcW w:w="109" w:type="dxa"/>
            <w:tcBorders/>
            <w:vAlign w:val="center"/>
          </w:tcPr>
          <w:p>
            <w:pPr>
              <w:pStyle w:val="TableContents"/>
              <w:bidi w:val="0"/>
              <w:spacing w:before="0" w:after="0"/>
              <w:ind w:left="0" w:right="0" w:hanging="0"/>
              <w:jc w:val="center"/>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2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15000 Valmont Plaza</w:t>
            </w:r>
          </w:p>
        </w:tc>
        <w:tc>
          <w:tcPr>
            <w:tcW w:w="109"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68154</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Omaha,</w:t>
            </w:r>
            <w:r>
              <w:rPr>
                <w:rFonts w:ascii="Times New Roman;Times;serif" w:hAnsi="Times New Roman;Times;serif"/>
                <w:sz w:val="20"/>
              </w:rPr>
              <w:t xml:space="preserve"> </w:t>
            </w:r>
            <w:r>
              <w:rPr>
                <w:rFonts w:ascii="Times New Roman;Times;serif" w:hAnsi="Times New Roman;Times;serif"/>
                <w:b/>
                <w:sz w:val="20"/>
              </w:rPr>
              <w:t>Nebraska</w:t>
            </w:r>
          </w:p>
        </w:tc>
        <w:tc>
          <w:tcPr>
            <w:tcW w:w="109"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(402) 963-1000</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120"/>
        <w:ind w:left="0" w:right="0" w:hanging="0"/>
        <w:jc w:val="center"/>
        <w:rPr>
          <w:rFonts w:ascii="Times New Roman;Times;serif" w:hAnsi="Times New Roman;Times;serif"/>
          <w:color w:val="231F20"/>
          <w:sz w:val="16"/>
        </w:rPr>
      </w:pPr>
      <w:r>
        <w:rPr>
          <w:rFonts w:ascii="Times New Roman;Times;serif" w:hAnsi="Times New Roman;Times;serif"/>
          <w:color w:val="231F20"/>
          <w:sz w:val="16"/>
        </w:rPr>
        <w:t>(Former name or former address, if changed since last report.)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120"/>
        <w:ind w:left="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120"/>
        <w:ind w:left="0" w:right="0" w:hanging="0"/>
        <w:jc w:val="left"/>
        <w:rPr/>
      </w:pPr>
      <w:r>
        <w:rPr/>
        <w:t xml:space="preserve">☐ </w:t>
      </w:r>
      <w:r>
        <w:rPr>
          <w:rFonts w:ascii="Times New Roman;Times;serif" w:hAnsi="Times New Roman;Times;serif"/>
          <w:color w:val="231F20"/>
          <w:sz w:val="20"/>
        </w:rPr>
        <w:t>Soliciting material pursuant to Rule 14a-12 under the Exchange Act (17 CFR 240.14a-12)</w:t>
      </w:r>
    </w:p>
    <w:p>
      <w:pPr>
        <w:pStyle w:val="TextBody"/>
        <w:bidi w:val="0"/>
        <w:spacing w:before="0" w:after="120"/>
        <w:ind w:left="0" w:right="0" w:hanging="0"/>
        <w:jc w:val="left"/>
        <w:rPr/>
      </w:pPr>
      <w:r>
        <w:rPr/>
        <w:t xml:space="preserve">☐ </w:t>
      </w:r>
      <w:r>
        <w:rPr>
          <w:rFonts w:ascii="Times New Roman;Times;serif" w:hAnsi="Times New Roman;Times;serif"/>
          <w:color w:val="231F20"/>
          <w:sz w:val="20"/>
        </w:rPr>
        <w:t>Pre-commencement communications pursuant to Rule 14d-2(b) under the Exchange Act (17 CFR 240.14d-2(b))</w:t>
      </w:r>
    </w:p>
    <w:p>
      <w:pPr>
        <w:pStyle w:val="TextBody"/>
        <w:bidi w:val="0"/>
        <w:spacing w:before="0" w:after="240"/>
        <w:ind w:left="0" w:right="0" w:hanging="0"/>
        <w:jc w:val="left"/>
        <w:rPr/>
      </w:pPr>
      <w:r>
        <w:rPr/>
        <w:t xml:space="preserve">☐ </w:t>
      </w:r>
      <w:r>
        <w:rPr>
          <w:rFonts w:ascii="Times New Roman;Times;serif" w:hAnsi="Times New Roman;Times;serif"/>
          <w:color w:val="231F20"/>
          <w:sz w:val="20"/>
        </w:rPr>
        <w:t>Pre-commencement communications pursuant to Rule 13e-4(c) under the Exchange Act (17 CFR 240.13e-4(c))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5" w:name="Tc_VhZhKCQlwUmv8cgfQhqA0w_1_4"/>
      <w:bookmarkStart w:id="16" w:name="Tc_y-L8KyzuNEuh9yrDgAoTPQ_1_2"/>
      <w:bookmarkStart w:id="17" w:name="Tc_4qGoRcrfo0e8tqqn1i0tOA_1_0"/>
      <w:bookmarkStart w:id="18" w:name="_93d5eed6_493c_4bbb_8b36_945d215b1edd"/>
      <w:bookmarkStart w:id="19" w:name="Tc_VhZhKCQlwUmv8cgfQhqA0w_1_4"/>
      <w:bookmarkStart w:id="20" w:name="Tc_y-L8KyzuNEuh9yrDgAoTPQ_1_2"/>
      <w:bookmarkStart w:id="21" w:name="Tc_4qGoRcrfo0e8tqqn1i0tOA_1_0"/>
      <w:bookmarkStart w:id="22" w:name="_93d5eed6_493c_4bbb_8b36_945d215b1edd"/>
      <w:bookmarkEnd w:id="19"/>
      <w:bookmarkEnd w:id="20"/>
      <w:bookmarkEnd w:id="21"/>
      <w:bookmarkEnd w:id="22"/>
    </w:p>
    <w:tbl>
      <w:tblPr>
        <w:tblW w:w="8630" w:type="dxa"/>
        <w:jc w:val="left"/>
        <w:tblInd w:w="0" w:type="dxa"/>
        <w:tblLayout w:type="fixed"/>
        <w:tblCellMar>
          <w:top w:w="0" w:type="dxa"/>
          <w:left w:w="0" w:type="dxa"/>
          <w:bottom w:w="0" w:type="dxa"/>
          <w:right w:w="0" w:type="dxa"/>
        </w:tblCellMar>
      </w:tblPr>
      <w:tblGrid>
        <w:gridCol w:w="2731"/>
        <w:gridCol w:w="286"/>
        <w:gridCol w:w="1621"/>
        <w:gridCol w:w="286"/>
        <w:gridCol w:w="370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34185" cy="175260"/>
                      <wp:effectExtent l="0" t="0" r="0" b="0"/>
                      <wp:wrapNone/>
                      <wp:docPr id="1" name="Frame1"/>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1610" cy="175260"/>
                      <wp:effectExtent l="0" t="0" r="0" b="0"/>
                      <wp:wrapNone/>
                      <wp:docPr id="2" name="Frame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29335" cy="175260"/>
                      <wp:effectExtent l="0" t="0" r="0" b="0"/>
                      <wp:wrapNone/>
                      <wp:docPr id="3" name="Frame3"/>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81610" cy="175260"/>
                      <wp:effectExtent l="0" t="0" r="0" b="0"/>
                      <wp:wrapNone/>
                      <wp:docPr id="4" name="Frame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353310" cy="175260"/>
                      <wp:effectExtent l="0" t="0" r="0" b="0"/>
                      <wp:wrapNone/>
                      <wp:docPr id="5" name="Frame5"/>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286" w:type="dxa"/>
            <w:tcBorders/>
            <w:vAlign w:val="center"/>
          </w:tcPr>
          <w:p>
            <w:pPr>
              <w:pStyle w:val="TableContents"/>
              <w:bidi w:val="0"/>
              <w:spacing w:before="0" w:after="0"/>
              <w:ind w:left="0" w:right="0" w:hanging="0"/>
              <w:jc w:val="left"/>
              <w:rPr/>
            </w:pPr>
            <w:r>
              <w:rPr/>
              <w:t>  ​ ​</w:t>
            </w:r>
          </w:p>
        </w:tc>
        <w:tc>
          <w:tcPr>
            <w:tcW w:w="16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86" w:type="dxa"/>
            <w:tcBorders/>
            <w:vAlign w:val="center"/>
          </w:tcPr>
          <w:p>
            <w:pPr>
              <w:pStyle w:val="TableContents"/>
              <w:bidi w:val="0"/>
              <w:spacing w:before="0" w:after="0"/>
              <w:ind w:left="0" w:right="0" w:hanging="0"/>
              <w:jc w:val="left"/>
              <w:rPr/>
            </w:pPr>
            <w:r>
              <w:rPr/>
              <w:t>  ​ ​</w:t>
            </w:r>
          </w:p>
        </w:tc>
        <w:tc>
          <w:tcPr>
            <w:tcW w:w="370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73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$1.00 par value</w:t>
            </w:r>
          </w:p>
        </w:tc>
        <w:tc>
          <w:tcPr>
            <w:tcW w:w="286" w:type="dxa"/>
            <w:tcBorders/>
            <w:vAlign w:val="center"/>
          </w:tcPr>
          <w:p>
            <w:pPr>
              <w:pStyle w:val="TableContents"/>
              <w:bidi w:val="0"/>
              <w:spacing w:before="0" w:after="0"/>
              <w:ind w:left="0" w:right="0" w:hanging="0"/>
              <w:jc w:val="left"/>
              <w:rPr/>
            </w:pPr>
            <w:r>
              <w:rPr/>
              <w:t>​</w:t>
            </w:r>
          </w:p>
        </w:tc>
        <w:tc>
          <w:tcPr>
            <w:tcW w:w="162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VMI</w:t>
            </w:r>
          </w:p>
        </w:tc>
        <w:tc>
          <w:tcPr>
            <w:tcW w:w="286" w:type="dxa"/>
            <w:tcBorders/>
            <w:vAlign w:val="center"/>
          </w:tcPr>
          <w:p>
            <w:pPr>
              <w:pStyle w:val="TableContents"/>
              <w:bidi w:val="0"/>
              <w:spacing w:before="0" w:after="0"/>
              <w:ind w:left="0" w:right="0" w:hanging="0"/>
              <w:jc w:val="left"/>
              <w:rPr/>
            </w:pPr>
            <w:r>
              <w:rPr/>
              <w:t>​</w:t>
            </w:r>
          </w:p>
        </w:tc>
        <w:tc>
          <w:tcPr>
            <w:tcW w:w="370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color w:val="231F20"/>
          <w:sz w:val="20"/>
        </w:rPr>
        <w:t xml:space="preserve">Emerging growth company </w:t>
      </w:r>
      <w:r>
        <w:rPr>
          <w:rFonts w:ascii="Times New Roman;Times;serif" w:hAnsi="Times New Roman;Times;serif"/>
          <w:sz w:val="20"/>
        </w:rPr>
        <w:t>☐</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pBdr>
          <w:top w:val="single" w:sz="2" w:space="1" w:color="000000"/>
          <w:bottom w:val="single" w:sz="1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3" w:name="_91e62d28_8edd_4fdd_9d8b_de11138f226f"/>
      <w:bookmarkEnd w:id="23"/>
      <w:r>
        <w:rPr>
          <w:rFonts w:ascii="Times New Roman;Times;serif" w:hAnsi="Times New Roman;Times;serif"/>
          <w:b/>
          <w:sz w:val="20"/>
        </w:rPr>
        <w:t>Item 2.02.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Valmont Industries, Inc. issued a press release on July 21, 2026 announcing its financial results for its fiscal quarter ended June 27, 2026. The press release is furnished with this Form 8-K as Exhibit 99.1.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in Item 2.02 is being furnished and shall not be deemed “filed” for the purpose of Section 18 of the Securities Exchange Act of 1934, as amended (the “Exchange Act”), or otherwise subject to the liabilities of that section. The information in Item 2.02 shall not be deemed incorporated by reference in any filing under the Securities Act of 1933, as amended, or the Exchange Act, except as shall be expressly set forth by specific reference in such a filing.</w:t>
      </w:r>
    </w:p>
    <w:p>
      <w:pPr>
        <w:pStyle w:val="TextBody"/>
        <w:bidi w:val="0"/>
        <w:spacing w:before="0" w:after="240"/>
        <w:ind w:left="0" w:right="0" w:hanging="0"/>
        <w:jc w:val="left"/>
        <w:rPr>
          <w:rFonts w:ascii="Times New Roman;Times;serif" w:hAnsi="Times New Roman;Times;serif"/>
          <w:b/>
          <w:sz w:val="20"/>
        </w:rPr>
      </w:pPr>
      <w:bookmarkStart w:id="24" w:name="_c54ba11c_973d_438e_97ba_9ff390b14fe0"/>
      <w:bookmarkEnd w:id="24"/>
      <w:r>
        <w:rPr>
          <w:rFonts w:ascii="Times New Roman;Times;serif" w:hAnsi="Times New Roman;Times;serif"/>
          <w:b/>
          <w:sz w:val="20"/>
        </w:rPr>
        <w:t>Item 9.01. Financial Statements and Exhibits.</w:t>
      </w:r>
    </w:p>
    <w:tbl>
      <w:tblPr>
        <w:tblW w:w="9471" w:type="dxa"/>
        <w:jc w:val="left"/>
        <w:tblInd w:w="0" w:type="dxa"/>
        <w:tblLayout w:type="fixed"/>
        <w:tblCellMar>
          <w:top w:w="0" w:type="dxa"/>
          <w:left w:w="0" w:type="dxa"/>
          <w:bottom w:w="0" w:type="dxa"/>
          <w:right w:w="0" w:type="dxa"/>
        </w:tblCellMar>
      </w:tblPr>
      <w:tblGrid>
        <w:gridCol w:w="1081"/>
        <w:gridCol w:w="109"/>
        <w:gridCol w:w="8281"/>
      </w:tblGrid>
      <w:tr>
        <w:trPr/>
        <w:tc>
          <w:tcPr>
            <w:tcW w:w="10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left"/>
              <w:rPr/>
            </w:pPr>
            <w:r>
              <w:rPr/>
              <w:t>​</w: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109" w:type="dxa"/>
            <w:tcBorders/>
            <w:vAlign w:val="center"/>
          </w:tcPr>
          <w:p>
            <w:pPr>
              <w:pStyle w:val="TableContents"/>
              <w:bidi w:val="0"/>
              <w:spacing w:before="0" w:after="0"/>
              <w:ind w:left="0" w:right="0" w:hanging="0"/>
              <w:jc w:val="center"/>
              <w:rPr/>
            </w:pPr>
            <w:r>
              <w:rPr/>
              <w:t>​</w:t>
            </w:r>
          </w:p>
        </w:tc>
        <w:tc>
          <w:tcPr>
            <w:tcW w:w="82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0" w:after="0"/>
              <w:ind w:left="0" w:right="0" w:hanging="0"/>
              <w:jc w:val="left"/>
              <w:rPr/>
            </w:pPr>
            <w:r>
              <w:rPr/>
              <w:t>​</w:t>
            </w:r>
          </w:p>
        </w:tc>
        <w:tc>
          <w:tcPr>
            <w:tcW w:w="8281" w:type="dxa"/>
            <w:tcBorders>
              <w:top w:val="single" w:sz="2" w:space="0" w:color="000000"/>
            </w:tcBorders>
            <w:tcMar>
              <w:top w:w="28" w:type="dxa"/>
            </w:tcMar>
            <w:vAlign w:val="center"/>
          </w:tcPr>
          <w:p>
            <w:pPr>
              <w:pStyle w:val="TableContents"/>
              <w:bidi w:val="0"/>
              <w:spacing w:before="0" w:after="0"/>
              <w:ind w:left="0" w:right="0" w:hanging="0"/>
              <w:jc w:val="left"/>
              <w:rPr/>
            </w:pPr>
            <w:hyperlink w:anchor="vmi-20260721xex99d1.htm">
              <w:r>
                <w:rPr>
                  <w:rStyle w:val="InternetLink"/>
                  <w:rFonts w:ascii="Times New Roman;Times;serif" w:hAnsi="Times New Roman;Times;serif"/>
                  <w:b w:val="false"/>
                  <w:i w:val="false"/>
                  <w:caps w:val="false"/>
                  <w:smallCaps w:val="false"/>
                  <w:sz w:val="20"/>
                </w:rPr>
                <w:t>Earnings Press Release dated July 21, 2026</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File (the cover page XBRL tags are embedded 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5" w:name="_d0ad01f1_b87f_4219_be1b_4adf7586a17b"/>
      <w:bookmarkEnd w:id="25"/>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5545" w:type="dxa"/>
        <w:jc w:val="left"/>
        <w:tblInd w:w="0" w:type="dxa"/>
        <w:tblLayout w:type="fixed"/>
        <w:tblCellMar>
          <w:top w:w="0" w:type="dxa"/>
          <w:left w:w="0" w:type="dxa"/>
          <w:bottom w:w="0" w:type="dxa"/>
          <w:right w:w="0" w:type="dxa"/>
        </w:tblCellMar>
      </w:tblPr>
      <w:tblGrid>
        <w:gridCol w:w="124"/>
        <w:gridCol w:w="109"/>
        <w:gridCol w:w="872"/>
        <w:gridCol w:w="3962"/>
        <w:gridCol w:w="478"/>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pPr>
            <w:r>
              <w:rPr/>
              <w:t>​</w:t>
            </w:r>
          </w:p>
        </w:tc>
      </w:tr>
      <w:tr>
        <w:trPr/>
        <w:tc>
          <w:tcPr>
            <w:tcW w:w="233" w:type="dxa"/>
            <w:gridSpan w:val="2"/>
            <w:tcBorders/>
            <w:vAlign w:val="center"/>
          </w:tcPr>
          <w:p>
            <w:pPr>
              <w:pStyle w:val="TableContents"/>
              <w:bidi w:val="0"/>
              <w:spacing w:before="0" w:after="0"/>
              <w:ind w:left="0" w:right="0" w:hanging="0"/>
              <w:jc w:val="left"/>
              <w:rPr/>
            </w:pPr>
            <w:r>
              <w:rPr/>
              <w:t>​</w:t>
            </w:r>
          </w:p>
        </w:tc>
        <w:tc>
          <w:tcPr>
            <w:tcW w:w="5312"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VALMONT INDUSTRIES, INC.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872"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pPr>
            <w:r>
              <w:rPr/>
              <w:t>​</w:t>
            </w:r>
          </w:p>
        </w:tc>
      </w:tr>
      <w:tr>
        <w:trPr/>
        <w:tc>
          <w:tcPr>
            <w:tcW w:w="233" w:type="dxa"/>
            <w:gridSpan w:val="2"/>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SCHWIETZ</w:t>
            </w:r>
          </w:p>
        </w:tc>
      </w:tr>
      <w:tr>
        <w:trPr/>
        <w:tc>
          <w:tcPr>
            <w:tcW w:w="233" w:type="dxa"/>
            <w:gridSpan w:val="2"/>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Schwietz</w:t>
            </w:r>
          </w:p>
        </w:tc>
        <w:tc>
          <w:tcPr>
            <w:tcW w:w="478" w:type="dxa"/>
            <w:tcBorders/>
            <w:vAlign w:val="center"/>
          </w:tcPr>
          <w:p>
            <w:pPr>
              <w:pStyle w:val="TableContents"/>
              <w:bidi w:val="0"/>
              <w:spacing w:before="0" w:after="0"/>
              <w:ind w:left="0" w:right="0" w:hanging="0"/>
              <w:jc w:val="left"/>
              <w:rPr/>
            </w:pPr>
            <w:r>
              <w:rPr/>
              <w:t>​</w:t>
            </w:r>
          </w:p>
        </w:tc>
      </w:tr>
      <w:tr>
        <w:trPr/>
        <w:tc>
          <w:tcPr>
            <w:tcW w:w="233" w:type="dxa"/>
            <w:gridSpan w:val="2"/>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4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July 21,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00" w:after="283"/>
        <w:jc w:val="left"/>
        <w:rPr/>
      </w:pPr>
      <w:bookmarkStart w:id="26" w:name="vmi-20260721xex99d1.htm"/>
      <w:bookmarkStart w:id="27" w:name="ksvmi20260721xex99d1"/>
      <w:bookmarkEnd w:id="26"/>
      <w:bookmarkEnd w:id="27"/>
      <w:r>
        <w:rPr/>
        <w:drawing>
          <wp:inline distT="0" distB="0" distL="0" distR="0">
            <wp:extent cx="7766685" cy="148780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7766685" cy="1487805"/>
                    </a:xfrm>
                    <a:prstGeom prst="rect">
                      <a:avLst/>
                    </a:prstGeom>
                  </pic:spPr>
                </pic:pic>
              </a:graphicData>
            </a:graphic>
          </wp:inline>
        </w:drawing>
      </w:r>
      <w:r>
        <w:br w:type="page"/>
      </w:r>
    </w:p>
    <w:p>
      <w:pPr>
        <w:pStyle w:val="TextBody"/>
        <w:bidi w:val="0"/>
        <w:spacing w:before="0" w:after="0"/>
        <w:ind w:left="0" w:right="0" w:hanging="0"/>
        <w:jc w:val="left"/>
        <w:rPr/>
      </w:pPr>
      <w:r>
        <w:rPr/>
        <w:t>​</w:t>
      </w:r>
    </w:p>
    <w:p>
      <w:pPr>
        <w:pStyle w:val="TextBody"/>
        <w:bidi w:val="0"/>
        <w:spacing w:before="1080" w:after="240"/>
        <w:ind w:left="0" w:right="0" w:hanging="0"/>
        <w:jc w:val="right"/>
        <w:rPr>
          <w:rFonts w:ascii="Arial;Helvetica;sans-serif" w:hAnsi="Arial;Helvetica;sans-serif"/>
          <w:b/>
          <w:sz w:val="22"/>
        </w:rPr>
      </w:pPr>
      <w:r>
        <w:rPr>
          <w:rFonts w:ascii="Arial;Helvetica;sans-serif" w:hAnsi="Arial;Helvetica;sans-serif"/>
          <w:b/>
          <w:sz w:val="22"/>
        </w:rPr>
        <w:t>Exhibit 99.1</w:t>
      </w:r>
    </w:p>
    <w:tbl>
      <w:tblPr>
        <w:tblW w:w="7382" w:type="dxa"/>
        <w:jc w:val="center"/>
        <w:tblInd w:w="0" w:type="dxa"/>
        <w:tblLayout w:type="fixed"/>
        <w:tblCellMar>
          <w:top w:w="0" w:type="dxa"/>
          <w:left w:w="0" w:type="dxa"/>
          <w:bottom w:w="0" w:type="dxa"/>
          <w:right w:w="0" w:type="dxa"/>
        </w:tblCellMar>
      </w:tblPr>
      <w:tblGrid>
        <w:gridCol w:w="1021"/>
        <w:gridCol w:w="3061"/>
        <w:gridCol w:w="428"/>
        <w:gridCol w:w="2872"/>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335" cy="175260"/>
                      <wp:effectExtent l="0" t="0" r="0" b="0"/>
                      <wp:wrapNone/>
                      <wp:docPr id="7" name="Frame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943735" cy="175260"/>
                      <wp:effectExtent l="0" t="0" r="0" b="0"/>
                      <wp:wrapNone/>
                      <wp:docPr id="8" name="Frame7"/>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96135" cy="175260"/>
                      <wp:effectExtent l="0" t="0" r="0" b="0"/>
                      <wp:wrapNone/>
                      <wp:docPr id="9" name="Frame8"/>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2" w:type="dxa"/>
            <w:gridSpan w:val="2"/>
            <w:tcBorders/>
            <w:vAlign w:val="center"/>
          </w:tcPr>
          <w:p>
            <w:pPr>
              <w:pStyle w:val="TableContents"/>
              <w:bidi w:val="0"/>
              <w:spacing w:before="0" w:after="0"/>
              <w:ind w:left="0" w:right="0" w:hanging="0"/>
              <w:jc w:val="left"/>
              <w:rPr/>
            </w:pPr>
            <w:r>
              <w:rPr/>
              <w:t>​</w:t>
            </w:r>
          </w:p>
        </w:tc>
        <w:tc>
          <w:tcPr>
            <w:tcW w:w="3300" w:type="dxa"/>
            <w:gridSpan w:val="2"/>
            <w:tcBorders/>
            <w:vAlign w:val="center"/>
          </w:tcPr>
          <w:p>
            <w:pPr>
              <w:pStyle w:val="TableContents"/>
              <w:bidi w:val="0"/>
              <w:spacing w:before="0" w:after="0"/>
              <w:ind w:left="0" w:right="0" w:hanging="0"/>
              <w:jc w:val="right"/>
              <w:rPr>
                <w:rFonts w:ascii="Arial;Helvetica;sans-serif" w:hAnsi="Arial;Helvetica;sans-serif"/>
                <w:b/>
                <w:sz w:val="24"/>
              </w:rPr>
            </w:pPr>
            <w:r>
              <w:rPr>
                <w:rFonts w:ascii="Arial;Helvetica;sans-serif" w:hAnsi="Arial;Helvetica;sans-serif"/>
                <w:b/>
                <w:sz w:val="24"/>
              </w:rPr>
              <w:t>FOR IMMEDIATE RELEASE</w:t>
            </w:r>
          </w:p>
        </w:tc>
      </w:tr>
      <w:tr>
        <w:trPr/>
        <w:tc>
          <w:tcPr>
            <w:tcW w:w="1021"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left"/>
              <w:rPr/>
            </w:pPr>
            <w:r>
              <w:rPr/>
              <w:t>​</w:t>
            </w:r>
          </w:p>
        </w:tc>
        <w:tc>
          <w:tcPr>
            <w:tcW w:w="3300" w:type="dxa"/>
            <w:gridSpan w:val="2"/>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Contact:</w:t>
            </w:r>
          </w:p>
        </w:tc>
        <w:tc>
          <w:tcPr>
            <w:tcW w:w="3489" w:type="dxa"/>
            <w:gridSpan w:val="2"/>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Renee Campbell</w:t>
            </w:r>
          </w:p>
        </w:tc>
        <w:tc>
          <w:tcPr>
            <w:tcW w:w="2872" w:type="dxa"/>
            <w:tcBorders/>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Email:</w:t>
            </w:r>
          </w:p>
        </w:tc>
        <w:tc>
          <w:tcPr>
            <w:tcW w:w="306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renee.campbell@valmont.com</w:t>
            </w:r>
          </w:p>
        </w:tc>
        <w:tc>
          <w:tcPr>
            <w:tcW w:w="3300" w:type="dxa"/>
            <w:gridSpan w:val="2"/>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Date:</w:t>
            </w:r>
          </w:p>
        </w:tc>
        <w:tc>
          <w:tcPr>
            <w:tcW w:w="306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July 21, 2026</w:t>
            </w:r>
          </w:p>
        </w:tc>
        <w:tc>
          <w:tcPr>
            <w:tcW w:w="3300" w:type="dxa"/>
            <w:gridSpan w:val="2"/>
            <w:tcBorders/>
            <w:vAlign w:val="center"/>
          </w:tcPr>
          <w:p>
            <w:pPr>
              <w:pStyle w:val="TableContents"/>
              <w:bidi w:val="0"/>
              <w:spacing w:before="0" w:after="0"/>
              <w:ind w:left="0" w:right="0" w:hanging="0"/>
              <w:jc w:val="left"/>
              <w:rPr/>
            </w:pPr>
            <w:r>
              <w:rPr/>
              <w:t>​</w:t>
            </w:r>
          </w:p>
        </w:tc>
      </w:tr>
    </w:tbl>
    <w:p>
      <w:pPr>
        <w:pStyle w:val="TextBody"/>
        <w:bidi w:val="0"/>
        <w:spacing w:before="240" w:after="120"/>
        <w:ind w:left="0" w:right="0" w:hanging="0"/>
        <w:jc w:val="center"/>
        <w:rPr>
          <w:rFonts w:ascii="Arial;Helvetica;sans-serif" w:hAnsi="Arial;Helvetica;sans-serif"/>
          <w:b/>
          <w:sz w:val="28"/>
        </w:rPr>
      </w:pPr>
      <w:r>
        <w:rPr>
          <w:rFonts w:ascii="Arial;Helvetica;sans-serif" w:hAnsi="Arial;Helvetica;sans-serif"/>
          <w:b/>
          <w:sz w:val="28"/>
        </w:rPr>
        <w:t>Valmont Reports Second Quarter 2026 Results</w:t>
        <w:br/>
        <w:t>and Raises Full-Year 2026 Guidance</w:t>
      </w:r>
    </w:p>
    <w:p>
      <w:pPr>
        <w:pStyle w:val="TextBody"/>
        <w:bidi w:val="0"/>
        <w:spacing w:before="240" w:after="240"/>
        <w:ind w:left="0" w:right="0" w:hanging="0"/>
        <w:jc w:val="left"/>
        <w:rPr>
          <w:rFonts w:ascii="Times New Roman;Times;serif" w:hAnsi="Times New Roman;Times;serif"/>
          <w:sz w:val="20"/>
        </w:rPr>
      </w:pPr>
      <w:r>
        <w:rPr>
          <w:rFonts w:ascii="Arial;Helvetica;sans-serif" w:hAnsi="Arial;Helvetica;sans-serif"/>
          <w:sz w:val="22"/>
        </w:rPr>
        <w:t>OMAHA, Neb.-- Valmont</w:t>
      </w:r>
      <w:r>
        <w:rPr>
          <w:rFonts w:ascii="Arial;Helvetica;sans-serif" w:hAnsi="Arial;Helvetica;sans-serif"/>
          <w:sz w:val="17"/>
        </w:rPr>
        <w:t>®</w:t>
      </w:r>
      <w:r>
        <w:rPr>
          <w:rFonts w:ascii="Times New Roman;Times;serif" w:hAnsi="Times New Roman;Times;serif"/>
          <w:sz w:val="20"/>
        </w:rPr>
        <w:t xml:space="preserve"> </w:t>
      </w:r>
      <w:r>
        <w:rPr>
          <w:rFonts w:ascii="Arial;Helvetica;sans-serif" w:hAnsi="Arial;Helvetica;sans-serif"/>
          <w:sz w:val="22"/>
        </w:rPr>
        <w:t>Industries, Inc. (NYSE: VMI), a global leader that provides products and solutions to support vital infrastructure and advance agricultural productivity, today reported financial results for the second quarter ended June 27, 2026.</w:t>
      </w:r>
    </w:p>
    <w:p>
      <w:pPr>
        <w:pStyle w:val="TextBody"/>
        <w:bidi w:val="0"/>
        <w:spacing w:before="280" w:after="0"/>
        <w:ind w:left="0" w:right="0" w:hanging="0"/>
        <w:jc w:val="left"/>
        <w:rPr>
          <w:rFonts w:ascii="Arial;Helvetica;sans-serif" w:hAnsi="Arial;Helvetica;sans-serif"/>
          <w:sz w:val="22"/>
        </w:rPr>
      </w:pPr>
      <w:r>
        <w:rPr>
          <w:rFonts w:ascii="Arial;Helvetica;sans-serif" w:hAnsi="Arial;Helvetica;sans-serif"/>
          <w:sz w:val="22"/>
        </w:rPr>
        <w:t>President and Chief Executive Officer Avner M. Applbaum commented, “Valmont delivered solid second quarter results, demonstrating the execution of our strategy and the strength of our market-leading businesses. In North America Utility and Coatings, commercial excellence, pricing discipline, and ongoing investments in capacity and operations drove another quarter of strong performance. Building on this momentum, we will continue strengthening our operations while leveraging our competitive advantages to capture the significant opportunities ahead. In Agriculture, we continue to navigate challenging market conditions through pricing discipline, operational execution, and cost management while investing in aftermarket solutions and technologies that improve grower productivity and reinforce our competitive advantage. These investments position the business to accelerate growth as market conditions improve.</w:t>
      </w:r>
    </w:p>
    <w:p>
      <w:pPr>
        <w:pStyle w:val="TextBody"/>
        <w:bidi w:val="0"/>
        <w:spacing w:before="280" w:after="0"/>
        <w:ind w:left="0" w:right="0" w:hanging="0"/>
        <w:jc w:val="left"/>
        <w:rPr/>
      </w:pPr>
      <w:r>
        <w:rPr/>
        <w:t>“</w:t>
      </w:r>
      <w:r>
        <w:rPr>
          <w:rFonts w:ascii="Arial;Helvetica;sans-serif" w:hAnsi="Arial;Helvetica;sans-serif"/>
          <w:sz w:val="22"/>
        </w:rPr>
        <w:t>During the quarter, we hosted our Investor Day and outlined a clear roadmap for profitable growth, margin expansion, disciplined resource allocation, and higher returns on invested capital. The progress we’ve made this quarter reinforces our confidence in that path and our ability to deliver sustainable long-term value for our shareholders.”</w:t>
      </w:r>
    </w:p>
    <w:p>
      <w:pPr>
        <w:pStyle w:val="TextBody"/>
        <w:bidi w:val="0"/>
        <w:spacing w:before="280" w:after="240"/>
        <w:ind w:left="0" w:right="0" w:hanging="0"/>
        <w:jc w:val="left"/>
        <w:rPr>
          <w:rFonts w:ascii="Times New Roman;Times;serif" w:hAnsi="Times New Roman;Times;serif"/>
          <w:sz w:val="20"/>
        </w:rPr>
      </w:pPr>
      <w:r>
        <w:rPr>
          <w:rFonts w:ascii="Arial;Helvetica;sans-serif" w:hAnsi="Arial;Helvetica;sans-serif"/>
          <w:b/>
          <w:sz w:val="22"/>
        </w:rPr>
        <w:t>Second</w:t>
      </w:r>
      <w:r>
        <w:rPr>
          <w:rFonts w:ascii="Times New Roman;Times;serif" w:hAnsi="Times New Roman;Times;serif"/>
          <w:sz w:val="20"/>
        </w:rPr>
        <w:t xml:space="preserve"> </w:t>
      </w:r>
      <w:r>
        <w:rPr>
          <w:rFonts w:ascii="Arial;Helvetica;sans-serif" w:hAnsi="Arial;Helvetica;sans-serif"/>
          <w:b/>
          <w:sz w:val="22"/>
        </w:rPr>
        <w:t>Quarter 2026 Highlights</w:t>
      </w:r>
      <w:r>
        <w:rPr>
          <w:rFonts w:ascii="Times New Roman;Times;serif" w:hAnsi="Times New Roman;Times;serif"/>
          <w:sz w:val="20"/>
        </w:rPr>
        <w:t xml:space="preserve"> </w:t>
      </w:r>
      <w:r>
        <w:rPr>
          <w:rFonts w:ascii="Arial;Helvetica;sans-serif" w:hAnsi="Arial;Helvetica;sans-serif"/>
          <w:i/>
          <w:sz w:val="22"/>
        </w:rPr>
        <w:t>(all metrics compared to Second Quarter 2025 unless otherwise noted)</w:t>
      </w:r>
    </w:p>
    <w:tbl>
      <w:tblPr>
        <w:tblW w:w="6670" w:type="dxa"/>
        <w:jc w:val="left"/>
        <w:tblInd w:w="0" w:type="dxa"/>
        <w:tblLayout w:type="fixed"/>
        <w:tblCellMar>
          <w:top w:w="0" w:type="dxa"/>
          <w:left w:w="0" w:type="dxa"/>
          <w:bottom w:w="0" w:type="dxa"/>
          <w:right w:w="0" w:type="dxa"/>
        </w:tblCellMar>
      </w:tblPr>
      <w:tblGrid>
        <w:gridCol w:w="170"/>
        <w:gridCol w:w="6500"/>
      </w:tblGrid>
      <w:tr>
        <w:trPr/>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Net sales increased 6.5% to $1.12 billion, compared to $1.05 billion</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Operating income increased to $166.1 million or 14.8% of net sales, compared to $29.3 million or 2.8% of net sales ($141.4 million or 13.5% adjusted</w:t>
            </w:r>
            <w:r>
              <w:rPr>
                <w:rFonts w:ascii="Arial;Helvetica;sans-serif" w:hAnsi="Arial;Helvetica;sans-serif"/>
                <w:b w:val="false"/>
                <w:i w:val="false"/>
                <w:caps w:val="false"/>
                <w:smallCaps w:val="false"/>
                <w:sz w:val="17"/>
              </w:rPr>
              <w:t>1</w:t>
            </w:r>
            <w:r>
              <w:rPr>
                <w:rFonts w:ascii="Arial;Helvetica;sans-serif" w:hAnsi="Arial;Helvetica;sans-serif"/>
                <w:b w:val="false"/>
                <w:i w:val="false"/>
                <w:caps w:val="false"/>
                <w:smallCaps w:val="false"/>
                <w:sz w:val="22"/>
              </w:rPr>
              <w:t>)</w:t>
            </w:r>
          </w:p>
        </w:tc>
      </w:tr>
    </w:tbl>
    <w:tbl>
      <w:tblPr>
        <w:tblW w:w="9145" w:type="dxa"/>
        <w:jc w:val="left"/>
        <w:tblInd w:w="0" w:type="dxa"/>
        <w:tblLayout w:type="fixed"/>
        <w:tblCellMar>
          <w:top w:w="0" w:type="dxa"/>
          <w:left w:w="0" w:type="dxa"/>
          <w:bottom w:w="0" w:type="dxa"/>
          <w:right w:w="0" w:type="dxa"/>
        </w:tblCellMar>
      </w:tblPr>
      <w:tblGrid>
        <w:gridCol w:w="170"/>
        <w:gridCol w:w="8975"/>
      </w:tblGrid>
      <w:tr>
        <w:trPr/>
        <w:tc>
          <w:tcPr>
            <w:tcW w:w="170" w:type="dxa"/>
            <w:tcBorders/>
            <w:vAlign w:val="center"/>
          </w:tcPr>
          <w:p>
            <w:pPr>
              <w:pStyle w:val="TableContents"/>
              <w:bidi w:val="0"/>
              <w:spacing w:before="0" w:after="283"/>
              <w:jc w:val="left"/>
              <w:rPr/>
            </w:pPr>
            <w:r>
              <w:rPr/>
              <w:t>●</w:t>
            </w:r>
          </w:p>
        </w:tc>
        <w:tc>
          <w:tcPr>
            <w:tcW w:w="897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Diluted earnings (loss) per share increased to $6.14, compared to ($1.53) or $4.88 adjusted</w:t>
            </w:r>
            <w:r>
              <w:rPr>
                <w:rFonts w:ascii="Arial;Helvetica;sans-serif" w:hAnsi="Arial;Helvetica;sans-serif"/>
                <w:b w:val="false"/>
                <w:i w:val="false"/>
                <w:caps w:val="false"/>
                <w:smallCaps w:val="false"/>
                <w:sz w:val="17"/>
              </w:rPr>
              <w:t>1</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Generated operating cash flow of $148.1 million; cash and cash equivalents were $139.1 million and net leverage ratio</w:t>
            </w:r>
            <w:r>
              <w:rPr>
                <w:rFonts w:ascii="Arial;Helvetica;sans-serif" w:hAnsi="Arial;Helvetica;sans-serif"/>
                <w:b w:val="false"/>
                <w:i w:val="false"/>
                <w:caps w:val="false"/>
                <w:smallCaps w:val="false"/>
                <w:sz w:val="17"/>
              </w:rPr>
              <w:t>1</w:t>
            </w:r>
            <w:r>
              <w:rPr>
                <w:caps w:val="false"/>
                <w:smallCaps w:val="false"/>
              </w:rPr>
              <w:t xml:space="preserve"> </w:t>
            </w:r>
            <w:r>
              <w:rPr>
                <w:rFonts w:ascii="Arial;Helvetica;sans-serif" w:hAnsi="Arial;Helvetica;sans-serif"/>
                <w:b w:val="false"/>
                <w:i w:val="false"/>
                <w:caps w:val="false"/>
                <w:smallCaps w:val="false"/>
                <w:sz w:val="22"/>
              </w:rPr>
              <w:t>was ~1.0x</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Returned $74.9 million to shareholders through $60.0 million in share repurchases and $14.9 million in dividends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Invested $35.9 million in capital expenditures to primarily support capacity investments for the North America Utility product line</w:t>
            </w:r>
          </w:p>
        </w:tc>
      </w:tr>
    </w:tbl>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12"/>
        </w:rPr>
        <w:t>1</w:t>
      </w:r>
      <w:r>
        <w:rPr>
          <w:rFonts w:ascii="Arial;Helvetica;sans-serif" w:hAnsi="Arial;Helvetica;sans-serif"/>
          <w:sz w:val="16"/>
        </w:rPr>
        <w:t>Please see Reg G reconciliation to GAAP measures at end of document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sz w:val="22"/>
        </w:rPr>
      </w:pPr>
      <w:r>
        <w:rPr>
          <w:rFonts w:ascii="Arial;Helvetica;sans-serif" w:hAnsi="Arial;Helvetica;sans-serif"/>
          <w:b/>
          <w:sz w:val="22"/>
        </w:rPr>
        <w:t>Key Financial Metrics</w:t>
      </w:r>
    </w:p>
    <w:tbl>
      <w:tblPr>
        <w:tblW w:w="10205" w:type="dxa"/>
        <w:jc w:val="left"/>
        <w:tblInd w:w="0" w:type="dxa"/>
        <w:tblLayout w:type="fixed"/>
        <w:tblCellMar>
          <w:top w:w="0" w:type="dxa"/>
          <w:left w:w="0" w:type="dxa"/>
          <w:bottom w:w="0" w:type="dxa"/>
          <w:right w:w="0" w:type="dxa"/>
        </w:tblCellMar>
      </w:tblPr>
      <w:tblGrid>
        <w:gridCol w:w="2154"/>
        <w:gridCol w:w="346"/>
        <w:gridCol w:w="196"/>
        <w:gridCol w:w="826"/>
        <w:gridCol w:w="346"/>
        <w:gridCol w:w="196"/>
        <w:gridCol w:w="826"/>
        <w:gridCol w:w="346"/>
        <w:gridCol w:w="876"/>
        <w:gridCol w:w="346"/>
        <w:gridCol w:w="109"/>
        <w:gridCol w:w="196"/>
        <w:gridCol w:w="826"/>
        <w:gridCol w:w="346"/>
        <w:gridCol w:w="196"/>
        <w:gridCol w:w="826"/>
        <w:gridCol w:w="346"/>
        <w:gridCol w:w="747"/>
        <w:gridCol w:w="155"/>
      </w:tblGrid>
      <w:tr>
        <w:trPr/>
        <w:tc>
          <w:tcPr>
            <w:tcW w:w="2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154" w:type="dxa"/>
            <w:tcBorders>
              <w:top w:val="single" w:sz="2" w:space="0" w:color="000000"/>
              <w:left w:val="single" w:sz="2" w:space="0" w:color="000000"/>
            </w:tcBorders>
            <w:tcMar>
              <w:top w:w="28" w:type="dxa"/>
              <w:left w:w="28" w:type="dxa"/>
            </w:tcMar>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Second Quarter 2026</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612" w:type="dxa"/>
            <w:gridSpan w:val="7"/>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GAAP</w:t>
            </w:r>
          </w:p>
        </w:tc>
        <w:tc>
          <w:tcPr>
            <w:tcW w:w="346" w:type="dxa"/>
            <w:tcBorders>
              <w:top w:val="single" w:sz="2" w:space="0" w:color="000000"/>
              <w:right w:val="single" w:sz="2" w:space="0" w:color="000000"/>
            </w:tcBorders>
            <w:tcMar>
              <w:top w:w="28" w:type="dxa"/>
              <w:right w:w="28" w:type="dxa"/>
            </w:tcMar>
            <w:vAlign w:val="center"/>
          </w:tcPr>
          <w:p>
            <w:pPr>
              <w:pStyle w:val="TableContents"/>
              <w:bidi w:val="0"/>
              <w:spacing w:before="0" w:after="0"/>
              <w:ind w:left="0" w:right="0" w:hanging="0"/>
              <w:jc w:val="left"/>
              <w:rPr/>
            </w:pPr>
            <w:r>
              <w:rPr/>
              <w:t>​</w:t>
            </w:r>
          </w:p>
        </w:tc>
        <w:tc>
          <w:tcPr>
            <w:tcW w:w="3592"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Arial;Helvetica;sans-serif" w:hAnsi="Arial;Helvetica;sans-serif"/>
                <w:b/>
                <w:sz w:val="16"/>
              </w:rPr>
              <w:t>Adjusted</w:t>
            </w:r>
            <w:r>
              <w:rPr>
                <w:rFonts w:ascii="Arial;Helvetica;sans-serif" w:hAnsi="Arial;Helvetica;sans-serif"/>
                <w:b/>
                <w:sz w:val="12"/>
              </w:rPr>
              <w:t>1</w:t>
            </w:r>
          </w:p>
        </w:tc>
        <w:tc>
          <w:tcPr>
            <w:tcW w:w="155" w:type="dxa"/>
            <w:tcBorders>
              <w:top w:val="single" w:sz="2" w:space="0" w:color="000000"/>
              <w:right w:val="single" w:sz="2" w:space="0" w:color="000000"/>
            </w:tcBorders>
            <w:tcMar>
              <w:top w:w="28" w:type="dxa"/>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 except per-share amounts)</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6/27/2026</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6/28/2025</w:t>
            </w:r>
          </w:p>
        </w:tc>
        <w:tc>
          <w:tcPr>
            <w:tcW w:w="346" w:type="dxa"/>
            <w:tcBorders/>
            <w:vAlign w:val="center"/>
          </w:tcPr>
          <w:p>
            <w:pPr>
              <w:pStyle w:val="TableContents"/>
              <w:bidi w:val="0"/>
              <w:spacing w:before="0" w:after="0"/>
              <w:ind w:left="0" w:right="0" w:hanging="0"/>
              <w:jc w:val="right"/>
              <w:rPr/>
            </w:pPr>
            <w:r>
              <w:rPr/>
              <w:t>  ​ ​ ​</w:t>
            </w:r>
          </w:p>
        </w:tc>
        <w:tc>
          <w:tcPr>
            <w:tcW w:w="87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  ​ ​ ​</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6/27/2026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6/28/2025</w:t>
            </w:r>
          </w:p>
        </w:tc>
        <w:tc>
          <w:tcPr>
            <w:tcW w:w="346" w:type="dxa"/>
            <w:tcBorders/>
            <w:vAlign w:val="center"/>
          </w:tcPr>
          <w:p>
            <w:pPr>
              <w:pStyle w:val="TableContents"/>
              <w:bidi w:val="0"/>
              <w:spacing w:before="0" w:after="0"/>
              <w:ind w:left="0" w:right="0" w:hanging="0"/>
              <w:jc w:val="left"/>
              <w:rPr/>
            </w:pPr>
            <w:r>
              <w:rPr/>
              <w:t>  ​ ​ ​</w:t>
            </w:r>
          </w:p>
        </w:tc>
        <w:tc>
          <w:tcPr>
            <w:tcW w:w="747" w:type="dxa"/>
            <w:tcBorders/>
            <w:vAlign w:val="center"/>
          </w:tcPr>
          <w:p>
            <w:pPr>
              <w:pStyle w:val="TableContents"/>
              <w:bidi w:val="0"/>
              <w:spacing w:before="0" w:after="0"/>
              <w:ind w:left="0" w:right="0" w:hanging="0"/>
              <w:jc w:val="center"/>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Q2 2026</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Q2 2025</w:t>
            </w:r>
          </w:p>
        </w:tc>
        <w:tc>
          <w:tcPr>
            <w:tcW w:w="346" w:type="dxa"/>
            <w:tcBorders/>
            <w:vAlign w:val="center"/>
          </w:tcPr>
          <w:p>
            <w:pPr>
              <w:pStyle w:val="TableContents"/>
              <w:bidi w:val="0"/>
              <w:spacing w:before="0" w:after="0"/>
              <w:ind w:left="0" w:right="0" w:hanging="0"/>
              <w:jc w:val="right"/>
              <w:rPr/>
            </w:pPr>
            <w:r>
              <w:rPr/>
              <w:t>​</w:t>
            </w:r>
          </w:p>
        </w:tc>
        <w:tc>
          <w:tcPr>
            <w:tcW w:w="8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vs. Q2 2025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Q2 2026</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Q2 2025</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vs. Q2 2025</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1,118,689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1,050,548</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1,118,689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1,050,548</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6.5%</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Gross Profit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340,817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321,167</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340,817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322,761</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5.6%</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Gross Profit as a % of Net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30.6%</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30.7%</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166,111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29,276</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467.4%</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166,111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141,356</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17.5%</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Operating Income as a % of Net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Net Earnings (Loss) Attributable to VMI</w:t>
            </w:r>
            <w:r>
              <w:rPr>
                <w:rFonts w:ascii="Arial;Helvetica;sans-serif" w:hAnsi="Arial;Helvetica;san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119,918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(30,263)</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NM</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119,918</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97,198</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23.4%</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Diluted Earnings (Loss) per Share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(1.53)</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NM</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4.88</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25.8%</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Weighted Average Shares Outstanding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19,520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19,809</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19,520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19,930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5"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83"/>
        <w:gridCol w:w="346"/>
        <w:gridCol w:w="196"/>
        <w:gridCol w:w="826"/>
        <w:gridCol w:w="346"/>
        <w:gridCol w:w="196"/>
        <w:gridCol w:w="826"/>
        <w:gridCol w:w="346"/>
        <w:gridCol w:w="778"/>
        <w:gridCol w:w="346"/>
        <w:gridCol w:w="109"/>
        <w:gridCol w:w="196"/>
        <w:gridCol w:w="826"/>
        <w:gridCol w:w="346"/>
        <w:gridCol w:w="196"/>
        <w:gridCol w:w="826"/>
        <w:gridCol w:w="346"/>
        <w:gridCol w:w="715"/>
        <w:gridCol w:w="156"/>
      </w:tblGrid>
      <w:tr>
        <w:trPr/>
        <w:tc>
          <w:tcPr>
            <w:tcW w:w="22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2283" w:type="dxa"/>
            <w:tcBorders>
              <w:top w:val="single" w:sz="2" w:space="0" w:color="000000"/>
              <w:left w:val="single" w:sz="2" w:space="0" w:color="000000"/>
            </w:tcBorders>
            <w:tcMar>
              <w:top w:w="28" w:type="dxa"/>
              <w:left w:w="28" w:type="dxa"/>
            </w:tcMar>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Year-to-Date 2026</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514" w:type="dxa"/>
            <w:gridSpan w:val="7"/>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GAAP</w:t>
            </w:r>
          </w:p>
        </w:tc>
        <w:tc>
          <w:tcPr>
            <w:tcW w:w="346" w:type="dxa"/>
            <w:tcBorders>
              <w:top w:val="single" w:sz="2" w:space="0" w:color="000000"/>
              <w:right w:val="single" w:sz="2" w:space="0" w:color="000000"/>
            </w:tcBorders>
            <w:tcMar>
              <w:top w:w="28" w:type="dxa"/>
              <w:right w:w="28" w:type="dxa"/>
            </w:tcMar>
            <w:vAlign w:val="center"/>
          </w:tcPr>
          <w:p>
            <w:pPr>
              <w:pStyle w:val="TableContents"/>
              <w:bidi w:val="0"/>
              <w:spacing w:before="0" w:after="0"/>
              <w:ind w:left="0" w:right="0" w:hanging="0"/>
              <w:jc w:val="left"/>
              <w:rPr/>
            </w:pPr>
            <w:r>
              <w:rPr/>
              <w:t>​</w:t>
            </w:r>
          </w:p>
        </w:tc>
        <w:tc>
          <w:tcPr>
            <w:tcW w:w="3560"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Arial;Helvetica;sans-serif" w:hAnsi="Arial;Helvetica;sans-serif"/>
                <w:b/>
                <w:sz w:val="16"/>
              </w:rPr>
              <w:t>Adjusted</w:t>
            </w:r>
            <w:r>
              <w:rPr>
                <w:rFonts w:ascii="Arial;Helvetica;sans-serif" w:hAnsi="Arial;Helvetica;sans-serif"/>
                <w:b/>
                <w:sz w:val="12"/>
              </w:rPr>
              <w:t>1</w:t>
            </w:r>
          </w:p>
        </w:tc>
        <w:tc>
          <w:tcPr>
            <w:tcW w:w="156" w:type="dxa"/>
            <w:tcBorders>
              <w:top w:val="single" w:sz="2" w:space="0" w:color="000000"/>
              <w:right w:val="single" w:sz="2" w:space="0" w:color="000000"/>
            </w:tcBorders>
            <w:tcMar>
              <w:top w:w="28" w:type="dxa"/>
              <w:right w:w="28" w:type="dxa"/>
            </w:tcMar>
            <w:vAlign w:val="center"/>
          </w:tcPr>
          <w:p>
            <w:pPr>
              <w:pStyle w:val="TableContents"/>
              <w:bidi w:val="0"/>
              <w:spacing w:before="0" w:after="0"/>
              <w:ind w:left="0" w:right="0" w:hanging="0"/>
              <w:jc w:val="left"/>
              <w:rPr/>
            </w:pPr>
            <w:r>
              <w:rPr/>
              <w:t>​</w:t>
            </w:r>
          </w:p>
        </w:tc>
      </w:tr>
      <w:tr>
        <w:trPr/>
        <w:tc>
          <w:tcPr>
            <w:tcW w:w="2283"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 except per-share amounts)</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6/27/2026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6/28/2025</w:t>
            </w:r>
          </w:p>
        </w:tc>
        <w:tc>
          <w:tcPr>
            <w:tcW w:w="346" w:type="dxa"/>
            <w:tcBorders/>
            <w:vAlign w:val="center"/>
          </w:tcPr>
          <w:p>
            <w:pPr>
              <w:pStyle w:val="TableContents"/>
              <w:bidi w:val="0"/>
              <w:spacing w:before="0" w:after="0"/>
              <w:ind w:left="0" w:right="0" w:hanging="0"/>
              <w:jc w:val="left"/>
              <w:rPr/>
            </w:pPr>
            <w:r>
              <w:rPr/>
              <w:t>  ​ ​ ​</w:t>
            </w:r>
          </w:p>
        </w:tc>
        <w:tc>
          <w:tcPr>
            <w:tcW w:w="778"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  ​ ​ ​</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6/27/2026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6/28/2025</w:t>
            </w:r>
          </w:p>
        </w:tc>
        <w:tc>
          <w:tcPr>
            <w:tcW w:w="346" w:type="dxa"/>
            <w:tcBorders/>
            <w:vAlign w:val="center"/>
          </w:tcPr>
          <w:p>
            <w:pPr>
              <w:pStyle w:val="TableContents"/>
              <w:bidi w:val="0"/>
              <w:spacing w:before="0" w:after="0"/>
              <w:ind w:left="0" w:right="0" w:hanging="0"/>
              <w:jc w:val="left"/>
              <w:rPr/>
            </w:pPr>
            <w:r>
              <w:rPr/>
              <w:t>  ​ ​ ​</w:t>
            </w:r>
          </w:p>
        </w:tc>
        <w:tc>
          <w:tcPr>
            <w:tcW w:w="715" w:type="dxa"/>
            <w:tcBorders/>
            <w:vAlign w:val="center"/>
          </w:tcPr>
          <w:p>
            <w:pPr>
              <w:pStyle w:val="TableContents"/>
              <w:bidi w:val="0"/>
              <w:spacing w:before="0" w:after="0"/>
              <w:ind w:left="0" w:right="0" w:hanging="0"/>
              <w:jc w:val="right"/>
              <w:rPr/>
            </w:pPr>
            <w:r>
              <w:rPr/>
              <w:t>​</w:t>
            </w:r>
          </w:p>
        </w:tc>
        <w:tc>
          <w:tcPr>
            <w:tcW w:w="15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283"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FY 2026</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FY 2025</w:t>
            </w:r>
          </w:p>
        </w:tc>
        <w:tc>
          <w:tcPr>
            <w:tcW w:w="346"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vs. FY 2025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FY 2026</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FY 2025</w:t>
            </w:r>
          </w:p>
        </w:tc>
        <w:tc>
          <w:tcPr>
            <w:tcW w:w="34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vs. FY 2025</w:t>
            </w:r>
          </w:p>
        </w:tc>
        <w:tc>
          <w:tcPr>
            <w:tcW w:w="15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283"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2,147,886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2,019,862</w:t>
            </w:r>
          </w:p>
        </w:tc>
        <w:tc>
          <w:tcPr>
            <w:tcW w:w="346"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6.3%</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2,147,886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2,019,862</w:t>
            </w:r>
          </w:p>
        </w:tc>
        <w:tc>
          <w:tcPr>
            <w:tcW w:w="34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6.3%</w:t>
            </w:r>
          </w:p>
        </w:tc>
        <w:tc>
          <w:tcPr>
            <w:tcW w:w="15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283"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Gross Profit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657,695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612,269</w:t>
            </w:r>
          </w:p>
        </w:tc>
        <w:tc>
          <w:tcPr>
            <w:tcW w:w="346"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7.4%</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657,695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613,863</w:t>
            </w:r>
          </w:p>
        </w:tc>
        <w:tc>
          <w:tcPr>
            <w:tcW w:w="34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7.1%</w:t>
            </w:r>
          </w:p>
        </w:tc>
        <w:tc>
          <w:tcPr>
            <w:tcW w:w="15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283"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Gross Profit as a % of Net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30.3%</w:t>
            </w:r>
          </w:p>
        </w:tc>
        <w:tc>
          <w:tcPr>
            <w:tcW w:w="346"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w:t>
            </w:r>
          </w:p>
        </w:tc>
        <w:tc>
          <w:tcPr>
            <w:tcW w:w="34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center"/>
              <w:rPr/>
            </w:pPr>
            <w:r>
              <w:rPr/>
              <w:t>​</w:t>
            </w:r>
          </w:p>
        </w:tc>
        <w:tc>
          <w:tcPr>
            <w:tcW w:w="15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283"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321,737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157,590</w:t>
            </w:r>
          </w:p>
        </w:tc>
        <w:tc>
          <w:tcPr>
            <w:tcW w:w="346"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104.2%</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321,737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269,670</w:t>
            </w:r>
          </w:p>
        </w:tc>
        <w:tc>
          <w:tcPr>
            <w:tcW w:w="34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19.3%</w:t>
            </w:r>
          </w:p>
        </w:tc>
        <w:tc>
          <w:tcPr>
            <w:tcW w:w="15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283"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Operating Income as a % of Net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w:t>
            </w:r>
          </w:p>
        </w:tc>
        <w:tc>
          <w:tcPr>
            <w:tcW w:w="346"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w:t>
            </w:r>
          </w:p>
        </w:tc>
        <w:tc>
          <w:tcPr>
            <w:tcW w:w="34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center"/>
              <w:rPr/>
            </w:pPr>
            <w:r>
              <w:rPr/>
              <w:t>  ​</w:t>
            </w:r>
          </w:p>
        </w:tc>
        <w:tc>
          <w:tcPr>
            <w:tcW w:w="15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283"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Net Earnings Attributable to VMI</w:t>
            </w:r>
            <w:r>
              <w:rPr>
                <w:rFonts w:ascii="Arial;Helvetica;sans-serif" w:hAnsi="Arial;Helvetica;san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227,951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56,998</w:t>
            </w:r>
          </w:p>
        </w:tc>
        <w:tc>
          <w:tcPr>
            <w:tcW w:w="346"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299.9%</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227,951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184,459</w:t>
            </w:r>
          </w:p>
        </w:tc>
        <w:tc>
          <w:tcPr>
            <w:tcW w:w="34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23.6%</w:t>
            </w:r>
          </w:p>
        </w:tc>
        <w:tc>
          <w:tcPr>
            <w:tcW w:w="15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283"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Diluted Earnings per Share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2.84</w:t>
            </w:r>
          </w:p>
        </w:tc>
        <w:tc>
          <w:tcPr>
            <w:tcW w:w="346" w:type="dxa"/>
            <w:tcBorders/>
            <w:vAlign w:val="center"/>
          </w:tcPr>
          <w:p>
            <w:pPr>
              <w:pStyle w:val="TableContents"/>
              <w:bidi w:val="0"/>
              <w:spacing w:before="0" w:after="0"/>
              <w:ind w:left="0" w:right="0" w:hanging="0"/>
              <w:jc w:val="left"/>
              <w:rPr/>
            </w:pPr>
            <w:r>
              <w:rPr/>
              <w:t>​</w:t>
            </w:r>
          </w:p>
        </w:tc>
        <w:tc>
          <w:tcPr>
            <w:tcW w:w="778"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310.2%</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9.19</w:t>
            </w:r>
          </w:p>
        </w:tc>
        <w:tc>
          <w:tcPr>
            <w:tcW w:w="346" w:type="dxa"/>
            <w:tcBorders/>
            <w:vAlign w:val="center"/>
          </w:tcPr>
          <w:p>
            <w:pPr>
              <w:pStyle w:val="TableContents"/>
              <w:bidi w:val="0"/>
              <w:spacing w:before="0" w:after="0"/>
              <w:ind w:left="0" w:right="0" w:hanging="0"/>
              <w:jc w:val="left"/>
              <w:rPr/>
            </w:pPr>
            <w:r>
              <w:rPr/>
              <w:t>​</w:t>
            </w:r>
          </w:p>
        </w:tc>
        <w:tc>
          <w:tcPr>
            <w:tcW w:w="715"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26.8%</w:t>
            </w:r>
          </w:p>
        </w:tc>
        <w:tc>
          <w:tcPr>
            <w:tcW w:w="15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283"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Weighted Average Shares Outstanding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19,571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20,063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19,571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20,063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120" w:after="0"/>
        <w:ind w:left="0" w:right="0" w:hanging="0"/>
        <w:jc w:val="left"/>
        <w:rPr>
          <w:rFonts w:ascii="Times New Roman;Times;serif" w:hAnsi="Times New Roman;Times;serif"/>
          <w:sz w:val="18"/>
        </w:rPr>
      </w:pPr>
      <w:r>
        <w:rPr>
          <w:rFonts w:ascii="Arial;Helvetica;sans-serif" w:hAnsi="Arial;Helvetica;sans-serif"/>
          <w:sz w:val="14"/>
          <w:shd w:fill="FFFFFF" w:val="clear"/>
        </w:rPr>
        <w:t>2</w:t>
      </w:r>
      <w:r>
        <w:rPr>
          <w:rFonts w:ascii="Arial;Helvetica;sans-serif" w:hAnsi="Arial;Helvetica;sans-serif"/>
          <w:sz w:val="18"/>
          <w:shd w:fill="FFFFFF" w:val="clear"/>
        </w:rPr>
        <w:t xml:space="preserve">Fiscal 2025 net earnings (loss) attributable to </w:t>
      </w:r>
      <w:r>
        <w:rPr>
          <w:rFonts w:ascii="Arial;Helvetica;sans-serif" w:hAnsi="Arial;Helvetica;sans-serif"/>
          <w:sz w:val="18"/>
        </w:rPr>
        <w:t>Valmont Industries, Inc.</w:t>
      </w:r>
      <w:r>
        <w:rPr>
          <w:rFonts w:ascii="Times New Roman;Times;serif" w:hAnsi="Times New Roman;Times;serif"/>
          <w:sz w:val="18"/>
          <w:shd w:fill="FFFFFF" w:val="clear"/>
        </w:rPr>
        <w:t xml:space="preserve"> </w:t>
      </w:r>
      <w:r>
        <w:rPr>
          <w:rFonts w:ascii="Arial;Helvetica;sans-serif" w:hAnsi="Arial;Helvetica;sans-serif"/>
          <w:sz w:val="18"/>
          <w:shd w:fill="FFFFFF" w:val="clear"/>
        </w:rPr>
        <w:t>including a change in redemption value of redeemable noncontrolling interests of $26,243</w:t>
      </w:r>
    </w:p>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Arial;Helvetica;sans-serif" w:hAnsi="Arial;Helvetica;sans-serif"/>
          <w:b/>
          <w:sz w:val="22"/>
        </w:rPr>
        <w:t xml:space="preserve">Second Quarter 2026 Segment Review </w:t>
      </w:r>
      <w:r>
        <w:rPr>
          <w:rFonts w:ascii="Arial;Helvetica;sans-serif" w:hAnsi="Arial;Helvetica;sans-serif"/>
          <w:i/>
          <w:sz w:val="22"/>
        </w:rPr>
        <w:t>(all metrics compared to Second Quarter 2025 unless otherwise noted)</w:t>
      </w:r>
    </w:p>
    <w:p>
      <w:pPr>
        <w:pStyle w:val="TextBody"/>
        <w:bidi w:val="0"/>
        <w:spacing w:before="0" w:after="60"/>
        <w:ind w:left="0" w:right="0" w:hanging="0"/>
        <w:jc w:val="left"/>
        <w:rPr>
          <w:rFonts w:ascii="Times New Roman;Times;serif" w:hAnsi="Times New Roman;Times;serif"/>
          <w:sz w:val="20"/>
        </w:rPr>
      </w:pPr>
      <w:r>
        <w:rPr>
          <w:rFonts w:ascii="Arial;Helvetica;sans-serif" w:hAnsi="Arial;Helvetica;sans-serif"/>
          <w:b/>
          <w:sz w:val="22"/>
        </w:rPr>
        <w:t>Infrastructure</w:t>
      </w:r>
      <w:r>
        <w:rPr>
          <w:rFonts w:ascii="Times New Roman;Times;serif" w:hAnsi="Times New Roman;Times;serif"/>
          <w:sz w:val="20"/>
        </w:rPr>
        <w:t xml:space="preserve"> </w:t>
      </w:r>
      <w:r>
        <w:rPr>
          <w:rFonts w:ascii="Arial;Helvetica;sans-serif" w:hAnsi="Arial;Helvetica;sans-serif"/>
          <w:i/>
          <w:sz w:val="22"/>
        </w:rPr>
        <w:t>(78.4% of Net Sales)</w:t>
      </w:r>
    </w:p>
    <w:p>
      <w:pPr>
        <w:pStyle w:val="TextBody"/>
        <w:bidi w:val="0"/>
        <w:spacing w:before="0" w:after="240"/>
        <w:ind w:left="0" w:right="0" w:hanging="0"/>
        <w:jc w:val="left"/>
        <w:rPr>
          <w:rFonts w:ascii="Arial;Helvetica;sans-serif" w:hAnsi="Arial;Helvetica;sans-serif"/>
          <w:i/>
          <w:sz w:val="22"/>
        </w:rPr>
      </w:pPr>
      <w:r>
        <w:rPr>
          <w:rFonts w:ascii="Arial;Helvetica;sans-serif" w:hAnsi="Arial;Helvetica;sans-serif"/>
          <w:i/>
          <w:sz w:val="22"/>
        </w:rPr>
        <w:t>Products and solutions to serve the infrastructure markets of utility, lighting, transportation, and telecommunications, along with coatings services to protect metal products</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Sales increased 14.8% to $878.9 million, compared to $765.5 million.</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Infrastructure end markets remained strong, supporting sales growth of 33.9% in North America Utility and 16.6% in North America Coatings, driven by favorable pricing and higher volumes. International sales increased primarily due to favorable foreign currency impacts. These increases were partially offset by lower volumes in North America Telecommunications due to moderating carrier spend.</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2"/>
        </w:rPr>
        <w:t>Operating income increased to $154.4</w:t>
      </w:r>
      <w:r>
        <w:rPr>
          <w:rFonts w:ascii="Times New Roman;Times;serif" w:hAnsi="Times New Roman;Times;serif"/>
          <w:sz w:val="20"/>
        </w:rPr>
        <w:t xml:space="preserve"> </w:t>
      </w:r>
      <w:r>
        <w:rPr>
          <w:rFonts w:ascii="Arial;Helvetica;sans-serif" w:hAnsi="Arial;Helvetica;sans-serif"/>
          <w:sz w:val="22"/>
        </w:rPr>
        <w:t>million or 17.6% of net sales, compared to $25.9 million or 3.4% of net sales ($124.6 million or 16.3% adjusted</w:t>
      </w:r>
      <w:r>
        <w:rPr>
          <w:rFonts w:ascii="Arial;Helvetica;sans-serif" w:hAnsi="Arial;Helvetica;sans-serif"/>
          <w:sz w:val="17"/>
        </w:rPr>
        <w:t>1</w:t>
      </w:r>
      <w:r>
        <w:rPr>
          <w:rFonts w:ascii="Arial;Helvetica;sans-serif" w:hAnsi="Arial;Helvetica;sans-serif"/>
          <w:sz w:val="22"/>
        </w:rPr>
        <w:t>). The improvement compared to prior-year GAAP results primarily reflects the absence of impairment and realignment charges recorded in the prior year. Excluding those items, the increase compared to adjusted</w:t>
      </w:r>
      <w:r>
        <w:rPr>
          <w:rFonts w:ascii="Arial;Helvetica;sans-serif" w:hAnsi="Arial;Helvetica;sans-serif"/>
          <w:sz w:val="17"/>
        </w:rPr>
        <w:t>1</w:t>
      </w:r>
      <w:r>
        <w:rPr>
          <w:rFonts w:ascii="Times New Roman;Times;serif" w:hAnsi="Times New Roman;Times;serif"/>
          <w:sz w:val="20"/>
        </w:rPr>
        <w:t xml:space="preserve"> </w:t>
      </w:r>
      <w:r>
        <w:rPr>
          <w:rFonts w:ascii="Arial;Helvetica;sans-serif" w:hAnsi="Arial;Helvetica;sans-serif"/>
          <w:sz w:val="22"/>
        </w:rPr>
        <w:t>operating income was primarily driven by favorable pricing and higher volumes, partially offset by increased input costs, primarily materials.</w:t>
      </w:r>
    </w:p>
    <w:p>
      <w:pPr>
        <w:pStyle w:val="TextBody"/>
        <w:bidi w:val="0"/>
        <w:spacing w:before="0" w:after="60"/>
        <w:ind w:left="0" w:right="0" w:hanging="0"/>
        <w:jc w:val="left"/>
        <w:rPr>
          <w:rFonts w:ascii="Times New Roman;Times;serif" w:hAnsi="Times New Roman;Times;serif"/>
          <w:sz w:val="20"/>
        </w:rPr>
      </w:pPr>
      <w:r>
        <w:rPr>
          <w:rFonts w:ascii="Arial;Helvetica;sans-serif" w:hAnsi="Arial;Helvetica;sans-serif"/>
          <w:b/>
          <w:sz w:val="22"/>
        </w:rPr>
        <w:t>Agriculture</w:t>
      </w:r>
      <w:r>
        <w:rPr>
          <w:rFonts w:ascii="Times New Roman;Times;serif" w:hAnsi="Times New Roman;Times;serif"/>
          <w:sz w:val="20"/>
        </w:rPr>
        <w:t xml:space="preserve"> </w:t>
      </w:r>
      <w:r>
        <w:rPr>
          <w:rFonts w:ascii="Arial;Helvetica;sans-serif" w:hAnsi="Arial;Helvetica;sans-serif"/>
          <w:i/>
          <w:sz w:val="22"/>
        </w:rPr>
        <w:t>(21.6% of Net Sales)</w:t>
      </w:r>
    </w:p>
    <w:p>
      <w:pPr>
        <w:pStyle w:val="TextBody"/>
        <w:bidi w:val="0"/>
        <w:spacing w:before="0" w:after="240"/>
        <w:ind w:left="0" w:right="0" w:hanging="0"/>
        <w:jc w:val="left"/>
        <w:rPr>
          <w:rFonts w:ascii="Arial;Helvetica;sans-serif" w:hAnsi="Arial;Helvetica;sans-serif"/>
          <w:i/>
          <w:sz w:val="22"/>
        </w:rPr>
      </w:pPr>
      <w:r>
        <w:rPr>
          <w:rFonts w:ascii="Arial;Helvetica;sans-serif" w:hAnsi="Arial;Helvetica;sans-serif"/>
          <w:i/>
          <w:sz w:val="22"/>
        </w:rPr>
        <w:t>Center pivot and linear irrigation equipment components for agricultural markets, including aftermarket parts and tubular products, and advanced technology solutions for precision agriculture</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Sales decreased 15.8% to $243.7 million, compared to $289.4 million.</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2"/>
        </w:rPr>
        <w:t>In North America, irrigation sales decreased 2.3% due to lower volumes amid continued agriculture market softness, partially offset by favorable pricing.</w:t>
      </w:r>
      <w:r>
        <w:rPr>
          <w:rFonts w:ascii="Times New Roman;Times;serif" w:hAnsi="Times New Roman;Times;serif"/>
          <w:sz w:val="20"/>
        </w:rPr>
        <w:t xml:space="preserve"> </w:t>
      </w:r>
      <w:r>
        <w:rPr>
          <w:rFonts w:ascii="Arial;Helvetica;sans-serif" w:hAnsi="Arial;Helvetica;sans-serif"/>
          <w:sz w:val="22"/>
        </w:rPr>
        <w:t>International sales decreased 28.9% driven primarily by disruptions associated with the ongoing Middle East conflict.</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2"/>
        </w:rPr>
        <w:t>Operating income increased to $39.9 million or 16.5% of net sales, compared to $36.1 million or 12.5% of net sales ($44.8 million or 15.6% adjusted</w:t>
      </w:r>
      <w:r>
        <w:rPr>
          <w:rFonts w:ascii="Arial;Helvetica;sans-serif" w:hAnsi="Arial;Helvetica;sans-serif"/>
          <w:sz w:val="17"/>
        </w:rPr>
        <w:t>1</w:t>
      </w:r>
      <w:r>
        <w:rPr>
          <w:rFonts w:ascii="Arial;Helvetica;sans-serif" w:hAnsi="Arial;Helvetica;sans-serif"/>
          <w:sz w:val="22"/>
        </w:rPr>
        <w:t>). Compared to prior-year adjusted</w:t>
      </w:r>
      <w:r>
        <w:rPr>
          <w:rFonts w:ascii="Arial;Helvetica;sans-serif" w:hAnsi="Arial;Helvetica;sans-serif"/>
          <w:sz w:val="17"/>
        </w:rPr>
        <w:t>1</w:t>
      </w:r>
      <w:r>
        <w:rPr>
          <w:rFonts w:ascii="Times New Roman;Times;serif" w:hAnsi="Times New Roman;Times;serif"/>
          <w:sz w:val="20"/>
        </w:rPr>
        <w:t xml:space="preserve"> </w:t>
      </w:r>
      <w:r>
        <w:rPr>
          <w:rFonts w:ascii="Arial;Helvetica;sans-serif" w:hAnsi="Arial;Helvetica;sans-serif"/>
          <w:sz w:val="22"/>
        </w:rPr>
        <w:t>operating income, the results were impacted by lower volumes, partially offset by favorable pricing and reduced costs.</w:t>
      </w:r>
    </w:p>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12"/>
        </w:rPr>
        <w:t>1</w:t>
      </w:r>
      <w:r>
        <w:rPr>
          <w:rFonts w:ascii="Arial;Helvetica;sans-serif" w:hAnsi="Arial;Helvetica;sans-serif"/>
          <w:sz w:val="16"/>
        </w:rPr>
        <w:t>Please see Reg G reconciliation to GAAP measures at end of document</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left"/>
        <w:rPr>
          <w:rFonts w:ascii="Arial;Helvetica;sans-serif" w:hAnsi="Arial;Helvetica;sans-serif"/>
          <w:b/>
          <w:sz w:val="22"/>
        </w:rPr>
      </w:pPr>
      <w:r>
        <w:rPr>
          <w:rFonts w:ascii="Arial;Helvetica;sans-serif" w:hAnsi="Arial;Helvetica;sans-serif"/>
          <w:b/>
          <w:sz w:val="22"/>
        </w:rPr>
        <w:t>Full-Year 2026 Financial Outlook and Key Assumptions</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The Company is raising its full-year 2026 net sales and diluted EPS outlook and updating its key assumptions.</w:t>
      </w:r>
    </w:p>
    <w:tbl>
      <w:tblPr>
        <w:tblW w:w="6781" w:type="dxa"/>
        <w:jc w:val="left"/>
        <w:tblInd w:w="0" w:type="dxa"/>
        <w:tblLayout w:type="fixed"/>
        <w:tblCellMar>
          <w:top w:w="0" w:type="dxa"/>
          <w:left w:w="0" w:type="dxa"/>
          <w:bottom w:w="0" w:type="dxa"/>
          <w:right w:w="0" w:type="dxa"/>
        </w:tblCellMar>
      </w:tblPr>
      <w:tblGrid>
        <w:gridCol w:w="2746"/>
        <w:gridCol w:w="604"/>
        <w:gridCol w:w="1421"/>
        <w:gridCol w:w="527"/>
        <w:gridCol w:w="1483"/>
      </w:tblGrid>
      <w:tr>
        <w:trPr/>
        <w:tc>
          <w:tcPr>
            <w:tcW w:w="3350" w:type="dxa"/>
            <w:gridSpan w:val="2"/>
            <w:tcBorders/>
            <w:vAlign w:val="center"/>
          </w:tcPr>
          <w:p>
            <w:pPr>
              <w:pStyle w:val="TableContents"/>
              <w:bidi w:val="0"/>
              <w:spacing w:before="0" w:after="283"/>
              <w:ind w:left="0" w:right="0" w:hanging="0"/>
              <w:jc w:val="left"/>
              <w:rPr>
                <w:sz w:val="4"/>
                <w:szCs w:val="4"/>
              </w:rPr>
            </w:pPr>
            <w:r>
              <w:rPr>
                <w:sz w:val="4"/>
                <w:szCs w:val="4"/>
              </w:rPr>
            </w:r>
          </w:p>
        </w:tc>
        <w:tc>
          <w:tcPr>
            <w:tcW w:w="1948" w:type="dxa"/>
            <w:gridSpan w:val="2"/>
            <w:tcBorders/>
            <w:vAlign w:val="center"/>
          </w:tcPr>
          <w:p>
            <w:pPr>
              <w:pStyle w:val="TableContents"/>
              <w:bidi w:val="0"/>
              <w:spacing w:before="0" w:after="283"/>
              <w:ind w:left="0" w:right="0" w:hanging="0"/>
              <w:jc w:val="left"/>
              <w:rPr>
                <w:sz w:val="4"/>
                <w:szCs w:val="4"/>
              </w:rPr>
            </w:pPr>
            <w:r>
              <w:rPr>
                <w:sz w:val="4"/>
                <w:szCs w:val="4"/>
              </w:rPr>
            </w:r>
          </w:p>
        </w:tc>
        <w:tc>
          <w:tcPr>
            <w:tcW w:w="1483" w:type="dxa"/>
            <w:tcBorders/>
            <w:vAlign w:val="center"/>
          </w:tcPr>
          <w:p>
            <w:pPr>
              <w:pStyle w:val="TableContents"/>
              <w:bidi w:val="0"/>
              <w:spacing w:before="0" w:after="283"/>
              <w:ind w:left="0" w:right="0" w:hanging="0"/>
              <w:jc w:val="left"/>
              <w:rPr>
                <w:sz w:val="4"/>
                <w:szCs w:val="4"/>
              </w:rPr>
            </w:pPr>
            <w:r>
              <w:rPr>
                <w:sz w:val="4"/>
                <w:szCs w:val="4"/>
              </w:rPr>
            </w:r>
          </w:p>
        </w:tc>
      </w:tr>
      <w:tr>
        <w:trPr/>
        <w:tc>
          <w:tcPr>
            <w:tcW w:w="27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b/>
                <w:sz w:val="22"/>
              </w:rPr>
            </w:pPr>
            <w:r>
              <w:rPr>
                <w:rFonts w:ascii="Arial;Helvetica;sans-serif" w:hAnsi="Arial;Helvetica;sans-serif"/>
                <w:b/>
                <w:sz w:val="22"/>
              </w:rPr>
              <w:t>Metric</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b/>
                <w:sz w:val="22"/>
              </w:rPr>
            </w:pPr>
            <w:r>
              <w:rPr>
                <w:rFonts w:ascii="Arial;Helvetica;sans-serif" w:hAnsi="Arial;Helvetica;sans-serif"/>
                <w:b/>
                <w:sz w:val="22"/>
              </w:rPr>
              <w:t>Previous Outlook</w:t>
            </w:r>
          </w:p>
        </w:tc>
        <w:tc>
          <w:tcPr>
            <w:tcW w:w="2010"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b/>
                <w:sz w:val="22"/>
              </w:rPr>
            </w:pPr>
            <w:r>
              <w:rPr>
                <w:rFonts w:ascii="Arial;Helvetica;sans-serif" w:hAnsi="Arial;Helvetica;sans-serif"/>
                <w:b/>
                <w:sz w:val="22"/>
              </w:rPr>
              <w:t>Updated Outlook</w:t>
            </w:r>
          </w:p>
        </w:tc>
      </w:tr>
      <w:tr>
        <w:trPr/>
        <w:tc>
          <w:tcPr>
            <w:tcW w:w="27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22"/>
              </w:rPr>
            </w:pPr>
            <w:r>
              <w:rPr>
                <w:rFonts w:ascii="Arial;Helvetica;sans-serif" w:hAnsi="Arial;Helvetica;sans-serif"/>
                <w:sz w:val="22"/>
              </w:rPr>
              <w:t>Net Sales</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$4.2 to $4.4 billion</w:t>
            </w:r>
          </w:p>
        </w:tc>
        <w:tc>
          <w:tcPr>
            <w:tcW w:w="2010"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$4.3 to $4.45 billion</w:t>
            </w:r>
          </w:p>
        </w:tc>
      </w:tr>
      <w:tr>
        <w:trPr/>
        <w:tc>
          <w:tcPr>
            <w:tcW w:w="27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22"/>
              </w:rPr>
            </w:pPr>
            <w:r>
              <w:rPr>
                <w:rFonts w:ascii="Arial;Helvetica;sans-serif" w:hAnsi="Arial;Helvetica;sans-serif"/>
                <w:sz w:val="22"/>
              </w:rPr>
              <w:t>Infrastructure Net Sales</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$3.3 to $3.45 billion</w:t>
            </w:r>
          </w:p>
        </w:tc>
        <w:tc>
          <w:tcPr>
            <w:tcW w:w="2010"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$3.4 to $3.5 billion</w:t>
            </w:r>
          </w:p>
        </w:tc>
      </w:tr>
      <w:tr>
        <w:trPr/>
        <w:tc>
          <w:tcPr>
            <w:tcW w:w="27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22"/>
              </w:rPr>
            </w:pPr>
            <w:r>
              <w:rPr>
                <w:rFonts w:ascii="Arial;Helvetica;sans-serif" w:hAnsi="Arial;Helvetica;sans-serif"/>
                <w:sz w:val="22"/>
              </w:rPr>
              <w:t>Agriculture Net Sales</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$0.9 to $0.95 billion</w:t>
            </w:r>
          </w:p>
        </w:tc>
        <w:tc>
          <w:tcPr>
            <w:tcW w:w="2010"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No change</w:t>
            </w:r>
          </w:p>
        </w:tc>
      </w:tr>
      <w:tr>
        <w:trPr/>
        <w:tc>
          <w:tcPr>
            <w:tcW w:w="27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22"/>
              </w:rPr>
            </w:pPr>
            <w:r>
              <w:rPr>
                <w:rFonts w:ascii="Arial;Helvetica;sans-serif" w:hAnsi="Arial;Helvetica;sans-serif"/>
                <w:sz w:val="22"/>
              </w:rPr>
              <w:t>Diluted Earnings per Share</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$21.50 to $23.50</w:t>
            </w:r>
          </w:p>
        </w:tc>
        <w:tc>
          <w:tcPr>
            <w:tcW w:w="2010"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$22.25 to $23.50</w:t>
            </w:r>
          </w:p>
        </w:tc>
      </w:tr>
      <w:tr>
        <w:trPr/>
        <w:tc>
          <w:tcPr>
            <w:tcW w:w="27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22"/>
              </w:rPr>
            </w:pPr>
            <w:r>
              <w:rPr>
                <w:rFonts w:ascii="Arial;Helvetica;sans-serif" w:hAnsi="Arial;Helvetica;sans-serif"/>
                <w:sz w:val="22"/>
              </w:rPr>
              <w:t>Capital Expenditures</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$170 to $200 million</w:t>
            </w:r>
          </w:p>
        </w:tc>
        <w:tc>
          <w:tcPr>
            <w:tcW w:w="2010"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No change</w:t>
            </w:r>
          </w:p>
        </w:tc>
      </w:tr>
      <w:tr>
        <w:trPr/>
        <w:tc>
          <w:tcPr>
            <w:tcW w:w="274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22"/>
              </w:rPr>
            </w:pPr>
            <w:r>
              <w:rPr>
                <w:rFonts w:ascii="Arial;Helvetica;sans-serif" w:hAnsi="Arial;Helvetica;sans-serif"/>
                <w:sz w:val="22"/>
              </w:rPr>
              <w:t>Effective Tax Rate</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~26.0%</w:t>
            </w:r>
          </w:p>
        </w:tc>
        <w:tc>
          <w:tcPr>
            <w:tcW w:w="2010"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No change</w:t>
            </w:r>
          </w:p>
        </w:tc>
      </w:tr>
    </w:tbl>
    <w:p>
      <w:pPr>
        <w:pStyle w:val="TextBody"/>
        <w:bidi w:val="0"/>
        <w:spacing w:before="240" w:after="60"/>
        <w:ind w:left="0" w:right="0" w:hanging="0"/>
        <w:jc w:val="left"/>
        <w:rPr>
          <w:rFonts w:ascii="Arial;Helvetica;sans-serif" w:hAnsi="Arial;Helvetica;sans-serif"/>
          <w:b/>
          <w:sz w:val="22"/>
        </w:rPr>
      </w:pPr>
      <w:r>
        <w:rPr>
          <w:rFonts w:ascii="Arial;Helvetica;sans-serif" w:hAnsi="Arial;Helvetica;sans-serif"/>
          <w:b/>
          <w:sz w:val="22"/>
        </w:rPr>
        <w:t>Key Assumptions</w:t>
      </w:r>
    </w:p>
    <w:tbl>
      <w:tblPr>
        <w:tblW w:w="7563" w:type="dxa"/>
        <w:jc w:val="left"/>
        <w:tblInd w:w="0" w:type="dxa"/>
        <w:tblLayout w:type="fixed"/>
        <w:tblCellMar>
          <w:top w:w="0" w:type="dxa"/>
          <w:left w:w="0" w:type="dxa"/>
          <w:bottom w:w="0" w:type="dxa"/>
          <w:right w:w="0" w:type="dxa"/>
        </w:tblCellMar>
      </w:tblPr>
      <w:tblGrid>
        <w:gridCol w:w="23"/>
        <w:gridCol w:w="170"/>
        <w:gridCol w:w="73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Steel cost assumptions are aligned with futures markets as of July 17, 2026</w:t>
            </w:r>
          </w:p>
        </w:tc>
      </w:tr>
    </w:tbl>
    <w:tbl>
      <w:tblPr>
        <w:tblW w:w="6948" w:type="dxa"/>
        <w:jc w:val="left"/>
        <w:tblInd w:w="0" w:type="dxa"/>
        <w:tblLayout w:type="fixed"/>
        <w:tblCellMar>
          <w:top w:w="0" w:type="dxa"/>
          <w:left w:w="0" w:type="dxa"/>
          <w:bottom w:w="0" w:type="dxa"/>
          <w:right w:w="0" w:type="dxa"/>
        </w:tblCellMar>
      </w:tblPr>
      <w:tblGrid>
        <w:gridCol w:w="23"/>
        <w:gridCol w:w="170"/>
        <w:gridCol w:w="67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Foreign currency assumptions based on FX rates as of July 17,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This outlook includes the current tariffs as of July 17, 2026 and assumes no material change to the current trade or tariff environment</w:t>
            </w:r>
          </w:p>
        </w:tc>
      </w:tr>
    </w:tbl>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2"/>
        </w:rPr>
        <w:t xml:space="preserve">A live audio discussion with Avner M. Applbaum, President and Chief Executive Officer, and John Schwietz, Executive Vice President and Chief Financial Officer, will take place on Tuesday, July 21, 2026 at 8:00 a.m. CT. The discussion can be accessed by telephone at +1 877.407.6184 or +1 201.389.0877 (no Conference ID needed) or via webcast at the following link: </w:t>
      </w:r>
      <w:r>
        <w:rPr>
          <w:rFonts w:ascii="Arial;Helvetica;sans-serif" w:hAnsi="Arial;Helvetica;sans-serif"/>
          <w:color w:val="1F497D"/>
          <w:sz w:val="22"/>
          <w:u w:val="single"/>
        </w:rPr>
        <w:t>Valmont Industries 2Q 2026 Earnings Conference Call.</w:t>
      </w:r>
      <w:r>
        <w:rPr>
          <w:rFonts w:ascii="Times New Roman;Times;serif" w:hAnsi="Times New Roman;Times;serif"/>
          <w:color w:val="1F497D"/>
          <w:sz w:val="20"/>
        </w:rPr>
        <w:t xml:space="preserve"> </w:t>
      </w:r>
      <w:r>
        <w:rPr>
          <w:rFonts w:ascii="Arial;Helvetica;sans-serif" w:hAnsi="Arial;Helvetica;sans-serif"/>
          <w:sz w:val="22"/>
        </w:rPr>
        <w:t xml:space="preserve">A slide presentation will be available for download on the </w:t>
      </w:r>
      <w:r>
        <w:rPr>
          <w:rFonts w:ascii="Arial;Helvetica;sans-serif" w:hAnsi="Arial;Helvetica;sans-serif"/>
          <w:color w:val="1F497D"/>
          <w:sz w:val="22"/>
          <w:u w:val="single"/>
        </w:rPr>
        <w:t>Investors</w:t>
      </w:r>
      <w:r>
        <w:rPr>
          <w:rFonts w:ascii="Times New Roman;Times;serif" w:hAnsi="Times New Roman;Times;serif"/>
          <w:color w:val="1F497D"/>
          <w:sz w:val="20"/>
        </w:rPr>
        <w:t xml:space="preserve"> </w:t>
      </w:r>
      <w:r>
        <w:rPr>
          <w:rFonts w:ascii="Arial;Helvetica;sans-serif" w:hAnsi="Arial;Helvetica;sans-serif"/>
          <w:sz w:val="22"/>
        </w:rPr>
        <w:t xml:space="preserve">page of </w:t>
      </w:r>
      <w:r>
        <w:rPr>
          <w:rFonts w:ascii="Arial;Helvetica;sans-serif" w:hAnsi="Arial;Helvetica;sans-serif"/>
          <w:color w:val="1F497D"/>
          <w:sz w:val="22"/>
          <w:u w:val="single"/>
        </w:rPr>
        <w:t>valmont.com</w:t>
      </w:r>
      <w:r>
        <w:rPr>
          <w:rFonts w:ascii="Times New Roman;Times;serif" w:hAnsi="Times New Roman;Times;serif"/>
          <w:sz w:val="20"/>
        </w:rPr>
        <w:t xml:space="preserve"> </w:t>
      </w:r>
      <w:r>
        <w:rPr>
          <w:rFonts w:ascii="Arial;Helvetica;sans-serif" w:hAnsi="Arial;Helvetica;sans-serif"/>
          <w:sz w:val="22"/>
        </w:rPr>
        <w:t>during the webcast. A replay of the event will be accessible three hours after the call at the above link or by telephone at +1 877.660.6853 or +1 201.612.7415 using access code 13756345. The replay will be available until 10:59 p.m. CT on Tuesday, July 28, 2026.</w:t>
      </w:r>
    </w:p>
    <w:p>
      <w:pPr>
        <w:pStyle w:val="TextBody"/>
        <w:bidi w:val="0"/>
        <w:spacing w:before="0" w:after="60"/>
        <w:ind w:left="0" w:right="0" w:hanging="0"/>
        <w:jc w:val="left"/>
        <w:rPr>
          <w:rFonts w:ascii="Arial;Helvetica;sans-serif" w:hAnsi="Arial;Helvetica;sans-serif"/>
          <w:b/>
          <w:sz w:val="22"/>
        </w:rPr>
      </w:pPr>
      <w:r>
        <w:rPr>
          <w:rFonts w:ascii="Arial;Helvetica;sans-serif" w:hAnsi="Arial;Helvetica;sans-serif"/>
          <w:b/>
          <w:sz w:val="22"/>
        </w:rPr>
        <w:t>About Valmont Industries, Inc.</w:t>
      </w:r>
    </w:p>
    <w:p>
      <w:pPr>
        <w:pStyle w:val="TextBody"/>
        <w:bidi w:val="0"/>
        <w:spacing w:before="60" w:after="240"/>
        <w:ind w:left="0" w:right="0" w:hanging="0"/>
        <w:jc w:val="left"/>
        <w:rPr>
          <w:rFonts w:ascii="Times New Roman;Times;serif" w:hAnsi="Times New Roman;Times;serif"/>
          <w:sz w:val="20"/>
        </w:rPr>
      </w:pPr>
      <w:r>
        <w:rPr>
          <w:rFonts w:ascii="Arial;Helvetica;sans-serif" w:hAnsi="Arial;Helvetica;sans-serif"/>
          <w:sz w:val="22"/>
        </w:rPr>
        <w:t xml:space="preserve">For more than 80 years, Valmont has been a global leader that provides products and solutions to support vital infrastructure and advance agricultural productivity. We are committed to customer-focused innovation that delivers lasting value. Learn more about how we’re </w:t>
      </w:r>
      <w:r>
        <w:rPr>
          <w:rFonts w:ascii="Arial;Helvetica;sans-serif" w:hAnsi="Arial;Helvetica;sans-serif"/>
          <w:i/>
          <w:sz w:val="22"/>
        </w:rPr>
        <w:t>Conserving Resources. Improving Life.</w:t>
      </w:r>
      <w:r>
        <w:rPr>
          <w:rFonts w:ascii="Arial;Helvetica;sans-serif" w:hAnsi="Arial;Helvetica;sans-serif"/>
          <w:i/>
          <w:sz w:val="17"/>
        </w:rPr>
        <w:t>®</w:t>
      </w:r>
      <w:r>
        <w:rPr>
          <w:rFonts w:ascii="Times New Roman;Times;serif" w:hAnsi="Times New Roman;Times;serif"/>
          <w:sz w:val="20"/>
        </w:rPr>
        <w:t xml:space="preserve"> </w:t>
      </w:r>
      <w:r>
        <w:rPr>
          <w:rFonts w:ascii="Arial;Helvetica;sans-serif" w:hAnsi="Arial;Helvetica;sans-serif"/>
          <w:sz w:val="22"/>
        </w:rPr>
        <w:t xml:space="preserve">at </w:t>
      </w:r>
      <w:r>
        <w:rPr>
          <w:rFonts w:ascii="Arial;Helvetica;sans-serif" w:hAnsi="Arial;Helvetica;sans-serif"/>
          <w:color w:val="3051F2"/>
          <w:sz w:val="22"/>
          <w:u w:val="single"/>
        </w:rPr>
        <w:t>valmont.com</w:t>
      </w:r>
      <w:r>
        <w:rPr>
          <w:rFonts w:ascii="Arial;Helvetica;sans-serif" w:hAnsi="Arial;Helvetica;sans-serif"/>
          <w:sz w:val="22"/>
        </w:rPr>
        <w:t>.</w:t>
      </w:r>
    </w:p>
    <w:p>
      <w:pPr>
        <w:pStyle w:val="TextBody"/>
        <w:bidi w:val="0"/>
        <w:spacing w:before="0" w:after="60"/>
        <w:ind w:left="0" w:right="0" w:hanging="0"/>
        <w:jc w:val="left"/>
        <w:rPr>
          <w:rFonts w:ascii="Arial;Helvetica;sans-serif" w:hAnsi="Arial;Helvetica;sans-serif"/>
          <w:b/>
          <w:sz w:val="22"/>
        </w:rPr>
      </w:pPr>
      <w:r>
        <w:rPr>
          <w:rFonts w:ascii="Arial;Helvetica;sans-serif" w:hAnsi="Arial;Helvetica;sans-serif"/>
          <w:b/>
          <w:sz w:val="22"/>
        </w:rPr>
        <w:t>Concerning Forward-Looking Statements</w:t>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This release contains forward-looking statements within the meaning of the Private Securities Litigation Reform Act of 1995. These statements are based on assumptions made by management, considering its experience in the industries where Valmont operates, perceptions of historical trends, current conditions, expected future developments, and other relevant factors. It is important to note that these statements are not guarantees of future performance or results. They involve risks, uncertainties (some of which are beyond Valmont’s control), and assumptions. Forward-looking statements may be accompanied by words such as “opportunities,” “estimate,” “outlook,” “clear path,” “target,” “expect,” “plan” and similar expressions. While management believes these forward-looking statements are based on reasonable assumptions as of the date made, numerous factors could cause actual results to differ materially from those anticipated. These factors include, among other things, risks described in Valmont’s reports to the Securities and Exchange Commission (“SEC”), the Company’s actual cash flows and net income, future economic and market circumstances, industry conditions, company performance and financial results, operational efficiencies, availability and price of raw materials, availability and market acceptance of new products, product pricing, domestic and international competitive environments, geopolitical risks, and actions and policy changes by domestic and foreign governments, including tariffs. The Company cautions that any forward-looking statements in this release are made as of its publication date and does not undertake to update these statements, except as required by law.</w:t>
      </w:r>
    </w:p>
    <w:p>
      <w:pPr>
        <w:pStyle w:val="TextBody"/>
        <w:bidi w:val="0"/>
        <w:spacing w:before="0" w:after="0"/>
        <w:ind w:left="0" w:right="0" w:hanging="0"/>
        <w:jc w:val="both"/>
        <w:rPr>
          <w:rFonts w:ascii="Arial;Helvetica;sans-serif" w:hAnsi="Arial;Helvetica;sans-serif"/>
          <w:sz w:val="22"/>
        </w:rPr>
      </w:pPr>
      <w:r>
        <w:rPr>
          <w:rFonts w:ascii="Arial;Helvetica;sans-serif" w:hAnsi="Arial;Helvetica;sans-serif"/>
          <w:sz w:val="22"/>
        </w:rPr>
        <w:t xml:space="preserve">The Company may provide certain non-GAAP financial measures (adjusted diluted earnings per share and adjusted effective tax rate) on a forward-looking basis from time to time. These measures are typically calculated by excluding the impact of items such as foreign exchange, acquisitions, divestitures, realignment or restructuring expenses, goodwill or intangible asset impairment, changes in tax laws or rates, change in </w:t>
      </w:r>
    </w:p>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12"/>
        </w:rPr>
        <w:t>1</w:t>
      </w:r>
      <w:r>
        <w:rPr>
          <w:rFonts w:ascii="Arial;Helvetica;sans-serif" w:hAnsi="Arial;Helvetica;sans-serif"/>
          <w:sz w:val="16"/>
        </w:rPr>
        <w:t>Please see Reg G reconciliation to GAAP measures at end of document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redemption value of redeemable noncontrolling interests, and other non-recurring items. To the extent the Company provides forward-looking non-GAAP financial measures, reconciliations to the most directly comparable GAAP financial measures are not provided, as the Company cannot do so without unreasonable effort due to the inherent uncertainty and difficulty in predicting the timing and financial impact of such items. For the same reasons, the Company cannot assess the likely significance of unavailable information, which could be material to future results.</w:t>
      </w:r>
    </w:p>
    <w:p>
      <w:pPr>
        <w:pStyle w:val="TextBody"/>
        <w:bidi w:val="0"/>
        <w:spacing w:before="0" w:after="60"/>
        <w:ind w:left="0" w:right="0" w:hanging="0"/>
        <w:jc w:val="left"/>
        <w:rPr>
          <w:rFonts w:ascii="Arial;Helvetica;sans-serif" w:hAnsi="Arial;Helvetica;sans-serif"/>
          <w:b/>
          <w:sz w:val="22"/>
        </w:rPr>
      </w:pPr>
      <w:r>
        <w:rPr>
          <w:rFonts w:ascii="Arial;Helvetica;sans-serif" w:hAnsi="Arial;Helvetica;sans-serif"/>
          <w:b/>
          <w:sz w:val="22"/>
        </w:rPr>
        <w:t>Website and Social Media Disclosure</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The Company uses its website and social media channels, as identified on its website, to distribute company information. Posts on these channels may contain material information. Therefore, investors should monitor these channels alongside the Company’s press releases, SEC filings, and public conference calls and webcasts. The contents of the Company’s website and social media channels are not considered part of this press release.</w:t>
      </w:r>
    </w:p>
    <w:p>
      <w:pPr>
        <w:pStyle w:val="TextBody"/>
        <w:bidi w:val="0"/>
        <w:spacing w:before="0" w:after="0"/>
        <w:ind w:left="0" w:right="0" w:hanging="0"/>
        <w:jc w:val="center"/>
        <w:rPr>
          <w:rFonts w:ascii="Arial;Helvetica;sans-serif" w:hAnsi="Arial;Helvetica;sans-serif"/>
          <w:sz w:val="22"/>
        </w:rPr>
      </w:pPr>
      <w:r>
        <w:rPr>
          <w:rFonts w:ascii="Arial;Helvetica;sans-serif" w:hAnsi="Arial;Helvetica;sans-serif"/>
          <w:sz w:val="22"/>
        </w:rPr>
        <w:t>###</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12"/>
        </w:rPr>
        <w:t>1</w:t>
      </w:r>
      <w:r>
        <w:rPr>
          <w:rFonts w:ascii="Arial;Helvetica;sans-serif" w:hAnsi="Arial;Helvetica;sans-serif"/>
          <w:sz w:val="16"/>
        </w:rPr>
        <w:t>Please see Reg G reconciliation to GAAP measures at end of document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and shares in thousands, except per-share amounts)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10157" w:type="dxa"/>
        <w:jc w:val="center"/>
        <w:tblInd w:w="0" w:type="dxa"/>
        <w:tblLayout w:type="fixed"/>
        <w:tblCellMar>
          <w:top w:w="0" w:type="dxa"/>
          <w:left w:w="0" w:type="dxa"/>
          <w:bottom w:w="0" w:type="dxa"/>
          <w:right w:w="0" w:type="dxa"/>
        </w:tblCellMar>
      </w:tblPr>
      <w:tblGrid>
        <w:gridCol w:w="4696"/>
        <w:gridCol w:w="109"/>
        <w:gridCol w:w="196"/>
        <w:gridCol w:w="826"/>
        <w:gridCol w:w="346"/>
        <w:gridCol w:w="196"/>
        <w:gridCol w:w="826"/>
        <w:gridCol w:w="346"/>
        <w:gridCol w:w="196"/>
        <w:gridCol w:w="826"/>
        <w:gridCol w:w="346"/>
        <w:gridCol w:w="196"/>
        <w:gridCol w:w="826"/>
        <w:gridCol w:w="226"/>
      </w:tblGrid>
      <w:tr>
        <w:trPr/>
        <w:tc>
          <w:tcPr>
            <w:tcW w:w="4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346" w:type="dxa"/>
            <w:tcBorders/>
            <w:vAlign w:val="center"/>
          </w:tcPr>
          <w:p>
            <w:pPr>
              <w:pStyle w:val="TableContents"/>
              <w:bidi w:val="0"/>
              <w:spacing w:before="0" w:after="0"/>
              <w:ind w:left="0" w:right="0" w:hanging="0"/>
              <w:jc w:val="center"/>
              <w:rPr/>
            </w:pPr>
            <w:r>
              <w:rPr/>
              <w:t>​</w:t>
            </w:r>
          </w:p>
        </w:tc>
        <w:tc>
          <w:tcPr>
            <w:tcW w:w="23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c>
          <w:tcPr>
            <w:tcW w:w="226" w:type="dxa"/>
            <w:tcBorders/>
            <w:vAlign w:val="center"/>
          </w:tcPr>
          <w:p>
            <w:pPr>
              <w:pStyle w:val="TableContents"/>
              <w:bidi w:val="0"/>
              <w:spacing w:before="0" w:after="0"/>
              <w:ind w:left="0" w:right="0" w:hanging="0"/>
              <w:jc w:val="center"/>
              <w:rPr/>
            </w:pPr>
            <w:r>
              <w:rPr/>
              <w:t>​</w:t>
            </w:r>
          </w:p>
        </w:tc>
      </w:tr>
      <w:tr>
        <w:trPr/>
        <w:tc>
          <w:tcPr>
            <w:tcW w:w="4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226" w:type="dxa"/>
            <w:tcBorders/>
            <w:vAlign w:val="center"/>
          </w:tcPr>
          <w:p>
            <w:pPr>
              <w:pStyle w:val="TableContents"/>
              <w:bidi w:val="0"/>
              <w:spacing w:before="0" w:after="0"/>
              <w:ind w:left="0" w:right="0" w:hanging="0"/>
              <w:jc w:val="center"/>
              <w:rPr/>
            </w:pPr>
            <w:r>
              <w:rPr/>
              <w:t>​</w:t>
            </w:r>
          </w:p>
        </w:tc>
      </w:tr>
      <w:tr>
        <w:trPr/>
        <w:tc>
          <w:tcPr>
            <w:tcW w:w="4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226" w:type="dxa"/>
            <w:tcBorders/>
            <w:vAlign w:val="center"/>
          </w:tcPr>
          <w:p>
            <w:pPr>
              <w:pStyle w:val="TableContents"/>
              <w:bidi w:val="0"/>
              <w:spacing w:before="0" w:after="0"/>
              <w:ind w:left="0" w:right="0" w:hanging="0"/>
              <w:jc w:val="center"/>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1,118,689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1,050,548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2,147,886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2,019,862</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777,872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729,381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1,490,191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1,407,593</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340,817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321,167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657,695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612,269</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174,706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191,670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335,958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354,458</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8,884</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166,111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321,737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157,590</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(20,658)</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4,962</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deferred compensation investments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1,543</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(6,405)</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(10,266)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(14,123)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(20,558)</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before income taxes and equity method investment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162,475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307,614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137,032</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79,104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53,079</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method investment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120,222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228,246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83,372</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attributable to redeemable noncontrolling interests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(loss) attributable to Valmont Industries, Inc.</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119,918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227,951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83,241</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 outstanding - Basic</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19,928</w:t>
            </w:r>
          </w:p>
        </w:tc>
        <w:tc>
          <w:tcPr>
            <w:tcW w:w="226" w:type="dxa"/>
            <w:tcBorders/>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(loss) per share - Basic</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r>
      <w:tr>
        <w:trPr/>
        <w:tc>
          <w:tcPr>
            <w:tcW w:w="4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 outstanding - Diluted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20,063</w:t>
            </w:r>
          </w:p>
        </w:tc>
        <w:tc>
          <w:tcPr>
            <w:tcW w:w="226" w:type="dxa"/>
            <w:tcBorders/>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(loss) per share - Diluted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r>
      <w:tr>
        <w:trPr/>
        <w:tc>
          <w:tcPr>
            <w:tcW w:w="46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 per share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c>
          <w:tcPr>
            <w:tcW w:w="22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4"/>
          <w:shd w:fill="FFFFFF" w:val="clear"/>
        </w:rPr>
        <w:t>1</w:t>
      </w:r>
      <w:r>
        <w:rPr>
          <w:rFonts w:ascii="Times New Roman;Times;serif" w:hAnsi="Times New Roman;Times;serif"/>
          <w:sz w:val="18"/>
          <w:shd w:fill="FFFFFF" w:val="clear"/>
        </w:rPr>
        <w:t xml:space="preserve">Fiscal 2025 basic and diluted earnings (loss) per share include a change in redemption value of redeemable noncontrolling interests of </w:t>
      </w:r>
      <w:r>
        <w:rPr>
          <w:rFonts w:ascii="Times New Roman;Times;serif" w:hAnsi="Times New Roman;Times;serif"/>
          <w:sz w:val="18"/>
        </w:rPr>
        <w:t>$26,243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OPERATING RESULTS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8356" w:type="dxa"/>
        <w:jc w:val="left"/>
        <w:tblInd w:w="0" w:type="dxa"/>
        <w:tblLayout w:type="fixed"/>
        <w:tblCellMar>
          <w:top w:w="0" w:type="dxa"/>
          <w:left w:w="0" w:type="dxa"/>
          <w:bottom w:w="0" w:type="dxa"/>
          <w:right w:w="0" w:type="dxa"/>
        </w:tblCellMar>
      </w:tblPr>
      <w:tblGrid>
        <w:gridCol w:w="3286"/>
        <w:gridCol w:w="109"/>
        <w:gridCol w:w="196"/>
        <w:gridCol w:w="721"/>
        <w:gridCol w:w="346"/>
        <w:gridCol w:w="196"/>
        <w:gridCol w:w="721"/>
        <w:gridCol w:w="346"/>
        <w:gridCol w:w="196"/>
        <w:gridCol w:w="826"/>
        <w:gridCol w:w="346"/>
        <w:gridCol w:w="196"/>
        <w:gridCol w:w="871"/>
      </w:tblGrid>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1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346" w:type="dxa"/>
            <w:tcBorders/>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left"/>
              <w:rPr/>
            </w:pPr>
            <w:r>
              <w:rPr/>
              <w:t>​</w:t>
            </w:r>
          </w:p>
        </w:tc>
        <w:tc>
          <w:tcPr>
            <w:tcW w:w="106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Infrastructure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876,718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763,092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1,679,898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1,466,583</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264,641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227,883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508,831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440,758</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111,187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211,432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206,850</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89,356</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1,426</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154,376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25,914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297,399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143,126</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Agriculture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241,971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287,456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467,988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553,279</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76,176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93,284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148,864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171,511</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52,366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94,356</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1,981</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2,886</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39,883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73,386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72,288</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Corporate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28,117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53,252</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4,572</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OPERATING RESULTS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first quarter of fiscal 2026, the Company revised its product line presentation to better reflect how the business is currently managed. Within the Infrastructure segment, product lines are now presented as North America Utility, North America Lighting and Transportation, North America Coatings, North America Telecommunications, and International Infrastructure and Solar, replacing the previous presentation of Utility, Lighting and Transportation, Coatings, Telecommunications, and Solar. Within the Agriculture segment, product lines are now presented as Agriculture, replacing the previous presentation of Irrigation Equipment and Parts and Technology Products and Services. The prior period product line amounts have been recast to conform to the current period presentation.</w:t>
      </w:r>
    </w:p>
    <w:tbl>
      <w:tblPr>
        <w:tblW w:w="8713" w:type="dxa"/>
        <w:jc w:val="left"/>
        <w:tblInd w:w="0" w:type="dxa"/>
        <w:tblLayout w:type="fixed"/>
        <w:tblCellMar>
          <w:top w:w="0" w:type="dxa"/>
          <w:left w:w="0" w:type="dxa"/>
          <w:bottom w:w="0" w:type="dxa"/>
          <w:right w:w="0" w:type="dxa"/>
        </w:tblCellMar>
      </w:tblPr>
      <w:tblGrid>
        <w:gridCol w:w="3211"/>
        <w:gridCol w:w="346"/>
        <w:gridCol w:w="262"/>
        <w:gridCol w:w="924"/>
        <w:gridCol w:w="346"/>
        <w:gridCol w:w="212"/>
        <w:gridCol w:w="749"/>
        <w:gridCol w:w="109"/>
        <w:gridCol w:w="276"/>
        <w:gridCol w:w="805"/>
        <w:gridCol w:w="346"/>
        <w:gridCol w:w="196"/>
        <w:gridCol w:w="931"/>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 June 27, 2026</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713,814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139,157</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849,020</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165,127</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104,542</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269,669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878,941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243,699</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1,118,689</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456,738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456,738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130,502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130,502</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69,037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66,814</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56,985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56,985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165,679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165,679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243,699</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241,971</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878,941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243,699</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1,118,689</w:t>
            </w:r>
          </w:p>
        </w:tc>
      </w:tr>
    </w:tbl>
    <w:p>
      <w:pPr>
        <w:pStyle w:val="TextBody"/>
        <w:bidi w:val="0"/>
        <w:spacing w:before="0" w:after="0"/>
        <w:ind w:left="0" w:right="0" w:hanging="0"/>
        <w:jc w:val="left"/>
        <w:rPr>
          <w:shd w:fill="FFFF00" w:val="clear"/>
        </w:rPr>
      </w:pPr>
      <w:r>
        <w:rPr>
          <w:shd w:fill="FFFF00" w:val="clear"/>
        </w:rPr>
        <w:t>​</w:t>
      </w:r>
    </w:p>
    <w:tbl>
      <w:tblPr>
        <w:tblW w:w="8713" w:type="dxa"/>
        <w:jc w:val="left"/>
        <w:tblInd w:w="0" w:type="dxa"/>
        <w:tblLayout w:type="fixed"/>
        <w:tblCellMar>
          <w:top w:w="0" w:type="dxa"/>
          <w:left w:w="0" w:type="dxa"/>
          <w:bottom w:w="0" w:type="dxa"/>
          <w:right w:w="0" w:type="dxa"/>
        </w:tblCellMar>
      </w:tblPr>
      <w:tblGrid>
        <w:gridCol w:w="3211"/>
        <w:gridCol w:w="346"/>
        <w:gridCol w:w="262"/>
        <w:gridCol w:w="924"/>
        <w:gridCol w:w="346"/>
        <w:gridCol w:w="212"/>
        <w:gridCol w:w="749"/>
        <w:gridCol w:w="109"/>
        <w:gridCol w:w="276"/>
        <w:gridCol w:w="805"/>
        <w:gridCol w:w="346"/>
        <w:gridCol w:w="196"/>
        <w:gridCol w:w="931"/>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 June 28, 2025</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616,436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142,482</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754,589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149,089</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146,938</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295,959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765,525</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289,420</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1,050,548</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341,188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341,188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133,765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133,765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59,184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56,819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77,149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77,149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154,239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154,171</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289,420</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287,456</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765,525</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289,420</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1,050,548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OPERATING RESULTS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8713" w:type="dxa"/>
        <w:jc w:val="left"/>
        <w:tblInd w:w="0" w:type="dxa"/>
        <w:tblLayout w:type="fixed"/>
        <w:tblCellMar>
          <w:top w:w="0" w:type="dxa"/>
          <w:left w:w="0" w:type="dxa"/>
          <w:bottom w:w="0" w:type="dxa"/>
          <w:right w:w="0" w:type="dxa"/>
        </w:tblCellMar>
      </w:tblPr>
      <w:tblGrid>
        <w:gridCol w:w="3211"/>
        <w:gridCol w:w="346"/>
        <w:gridCol w:w="227"/>
        <w:gridCol w:w="959"/>
        <w:gridCol w:w="346"/>
        <w:gridCol w:w="212"/>
        <w:gridCol w:w="749"/>
        <w:gridCol w:w="109"/>
        <w:gridCol w:w="276"/>
        <w:gridCol w:w="805"/>
        <w:gridCol w:w="346"/>
        <w:gridCol w:w="196"/>
        <w:gridCol w:w="931"/>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 June 27, 2026</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1,381,342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278,750</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1,652,421</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303,520</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191,945</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495,465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1,684,862</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470,695</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(7,671)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2,147,886</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880,922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880,922</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249,154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249,154</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132,171</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127,207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118,489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118,489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304,126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304,126</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470,695</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467,988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1,684,862</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470,695</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(7,671)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2,147,886</w:t>
            </w:r>
          </w:p>
        </w:tc>
      </w:tr>
    </w:tbl>
    <w:p>
      <w:pPr>
        <w:pStyle w:val="TextBody"/>
        <w:bidi w:val="0"/>
        <w:spacing w:before="0" w:after="0"/>
        <w:ind w:left="0" w:right="0" w:hanging="0"/>
        <w:jc w:val="left"/>
        <w:rPr/>
      </w:pPr>
      <w:r>
        <w:rPr/>
        <w:t>​</w:t>
      </w:r>
    </w:p>
    <w:tbl>
      <w:tblPr>
        <w:tblW w:w="8713" w:type="dxa"/>
        <w:jc w:val="left"/>
        <w:tblInd w:w="0" w:type="dxa"/>
        <w:tblLayout w:type="fixed"/>
        <w:tblCellMar>
          <w:top w:w="0" w:type="dxa"/>
          <w:left w:w="0" w:type="dxa"/>
          <w:bottom w:w="0" w:type="dxa"/>
          <w:right w:w="0" w:type="dxa"/>
        </w:tblCellMar>
      </w:tblPr>
      <w:tblGrid>
        <w:gridCol w:w="3211"/>
        <w:gridCol w:w="346"/>
        <w:gridCol w:w="227"/>
        <w:gridCol w:w="959"/>
        <w:gridCol w:w="346"/>
        <w:gridCol w:w="212"/>
        <w:gridCol w:w="749"/>
        <w:gridCol w:w="109"/>
        <w:gridCol w:w="276"/>
        <w:gridCol w:w="805"/>
        <w:gridCol w:w="346"/>
        <w:gridCol w:w="196"/>
        <w:gridCol w:w="931"/>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 June 28, 2025</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1,193,633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279,958</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1,465,150</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278,113</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276,733</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554,712</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1,471,746</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556,691</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2,019,862</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674,024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674,024</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257,888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257,888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114,892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109,863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141,137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141,137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283,805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283,671</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556,691</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553,279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1,471,746</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556,691</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2,019,862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10205" w:type="dxa"/>
        <w:jc w:val="center"/>
        <w:tblInd w:w="0" w:type="dxa"/>
        <w:tblLayout w:type="fixed"/>
        <w:tblCellMar>
          <w:top w:w="0" w:type="dxa"/>
          <w:left w:w="0" w:type="dxa"/>
          <w:bottom w:w="0" w:type="dxa"/>
          <w:right w:w="0" w:type="dxa"/>
        </w:tblCellMar>
      </w:tblPr>
      <w:tblGrid>
        <w:gridCol w:w="7550"/>
        <w:gridCol w:w="109"/>
        <w:gridCol w:w="196"/>
        <w:gridCol w:w="826"/>
        <w:gridCol w:w="346"/>
        <w:gridCol w:w="204"/>
        <w:gridCol w:w="974"/>
      </w:tblGrid>
      <w:tr>
        <w:trPr/>
        <w:tc>
          <w:tcPr>
            <w:tcW w:w="75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r>
      <w:tr>
        <w:trPr/>
        <w:tc>
          <w:tcPr>
            <w:tcW w:w="75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center"/>
              <w:rPr/>
            </w:pPr>
            <w:r>
              <w:rPr/>
              <w:t>​</w:t>
            </w:r>
          </w:p>
        </w:tc>
        <w:tc>
          <w:tcPr>
            <w:tcW w:w="1178"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75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1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139,051</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187,140</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648,703</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590,127</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608,842</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566,396</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272,731</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266,922</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113,126</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109,063</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1,782,453</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1,719,648</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693,183</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673,863</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 and other non-current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990,069</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975,818</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3,465,705</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3,369,329</w:t>
            </w:r>
          </w:p>
        </w:tc>
      </w:tr>
      <w:tr>
        <w:trPr/>
        <w:tc>
          <w:tcPr>
            <w:tcW w:w="755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REDEEMABLE NONCONTROLLING INTERESTS, AND SHAREHOLDERS' EQUITY</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  ​</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  ​</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installments of long-term debt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Mandatorily redeemable financial instrument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8,922</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387,899</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359,539</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253,040</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284,751</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79,785</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52,013</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21,698</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12,604</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payable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14,864</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13,278</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757,346</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731,620</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 excluding current installments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730,625</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795,150</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141,056</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130,007</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101,089</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70,267</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1,730,116</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1,727,044</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Redeemable noncontrolling interests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8,836</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9,498</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Shareholders' equity</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1,726,753</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1,632,787</w:t>
            </w:r>
          </w:p>
        </w:tc>
      </w:tr>
      <w:tr>
        <w:trPr/>
        <w:tc>
          <w:tcPr>
            <w:tcW w:w="755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redeemable noncontrolling interests, and shareholders' equity</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3,465,705</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3,369,329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6415" w:type="dxa"/>
        <w:jc w:val="left"/>
        <w:tblInd w:w="0" w:type="dxa"/>
        <w:tblLayout w:type="fixed"/>
        <w:tblCellMar>
          <w:top w:w="0" w:type="dxa"/>
          <w:left w:w="0" w:type="dxa"/>
          <w:bottom w:w="0" w:type="dxa"/>
          <w:right w:w="0" w:type="dxa"/>
        </w:tblCellMar>
      </w:tblPr>
      <w:tblGrid>
        <w:gridCol w:w="3901"/>
        <w:gridCol w:w="109"/>
        <w:gridCol w:w="196"/>
        <w:gridCol w:w="811"/>
        <w:gridCol w:w="346"/>
        <w:gridCol w:w="196"/>
        <w:gridCol w:w="856"/>
      </w:tblGrid>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228,246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83,372</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43,781</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Contribution to defined benefit pension plan</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(1,492)</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(63,694)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3,729</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31,745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12,012</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251,583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232,739</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  ​</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plant, and equipment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(70,504)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(62,306)</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Acquisitions, net of cash acquired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(11,470)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5,418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(2,013)</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investing activities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(76,556)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(64,319)</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  ​</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repayments on short-term borrowings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(1,652)</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long-term borrowings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65,211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130,000</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repayments on long-term borrowings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(130,558)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(130,358)</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(28,227)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(25,667)</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redeemable noncontrolling interests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Repurchases of common stock</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(117,540)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(100,007)</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(3,539)</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financing activities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(223,716)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(131,223)</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rates on cash and cash equivalents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7,021</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cash and cash equivalents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44,218</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equivalents—beginning of period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187,140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164,315</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equivalents—end of period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139,051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208,533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USE OF NON-GAAP FINANCIAL MEASURES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utilizes non-GAAP financial measures to assess the Company’s historical and prospective financial performance, evaluate operational profitability on a consistent basis, factor into executive compensation decisions, and enhance transparency for the investment community. These non-GAAP measures are intended to supplement, not replace, the Company’s reported financial results prepared in accordance with GAAP. It is important to note that other companies may calculate these measures differently, which can limit their usefulness for comparison across organizations.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non-GAAP measures may be included in financial releases and other financial communications: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Adjusted Gross Profit, Adjusted Gross Margin, Adjusted Operating Income, Adjusted Operating Margin, Adjusted Net Earnings, Adjusted Diluted EPS, and Adjusted Effective Tax Rate:</w:t>
            </w:r>
            <w:r>
              <w:rPr>
                <w:caps w:val="false"/>
                <w:smallCaps w:val="false"/>
              </w:rPr>
              <w:t xml:space="preserve"> </w:t>
            </w:r>
            <w:r>
              <w:rPr>
                <w:rFonts w:ascii="Times New Roman;Times;serif" w:hAnsi="Times New Roman;Times;serif"/>
                <w:b w:val="false"/>
                <w:i w:val="false"/>
                <w:caps w:val="false"/>
                <w:smallCaps w:val="false"/>
                <w:sz w:val="20"/>
              </w:rPr>
              <w:t>These metrics provide meaningful supplemental insights into the Company’s operating performance by excluding items that are not considered part of core operating results. This approach enhances comparability across reporting periods. Adjustments may include costs or benefits associated with acquisitions, divestitures, expenses related to realignment or restructuring programs, goodwill or intangible asset impairment, significant expenses or benefits from changes in tax laws or rates, cumulative effects of changes in accounting standards, refinancing-related expenses, a loss or a gain from a partial or full settlement of the U.K. defined benefit pension plan obligation, losses from natural disasters, change in redemption value of redeemable noncontrolling interests, and other non-recurring items.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Adjusted EBITDA:</w:t>
            </w:r>
            <w:r>
              <w:rPr>
                <w:caps w:val="false"/>
                <w:smallCaps w:val="false"/>
              </w:rPr>
              <w:t xml:space="preserve"> </w:t>
            </w:r>
            <w:r>
              <w:rPr>
                <w:rFonts w:ascii="Times New Roman;Times;serif" w:hAnsi="Times New Roman;Times;serif"/>
                <w:b w:val="false"/>
                <w:i w:val="false"/>
                <w:caps w:val="false"/>
                <w:smallCaps w:val="false"/>
                <w:sz w:val="20"/>
              </w:rPr>
              <w:t>This metric is a key component of a financial ratio included in the covenants of our major debt agreements. It is calculated as net earnings before interest, taxes, depreciation, amortization, stock-based compensation, and other adjustments as outlined in the applicable debt agreements. This metric offers investors and analysts valuable insights into the Company’s core operating performance. Adjusted EBITDA margin is also used to evaluate profitability.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Leverage Ratio:</w:t>
            </w:r>
            <w:r>
              <w:rPr>
                <w:caps w:val="false"/>
                <w:smallCaps w:val="false"/>
              </w:rPr>
              <w:t xml:space="preserve"> </w:t>
            </w:r>
            <w:r>
              <w:rPr>
                <w:rFonts w:ascii="Times New Roman;Times;serif" w:hAnsi="Times New Roman;Times;serif"/>
                <w:b w:val="false"/>
                <w:i w:val="false"/>
                <w:caps w:val="false"/>
                <w:smallCaps w:val="false"/>
                <w:sz w:val="20"/>
              </w:rPr>
              <w:t>This ratio is calculated by taking the sum of interest-bearing debt, minus unrestricted cash in excess of $50.0 million (but not exceeding $500.0 million), and dividing it by Adjusted EBITDA. This is a key financial ratio included in the covenants of our major debt agreements and is calculated on a rolling four-fiscal-quarter basis. The revolving credit facility requires us to maintain a financial leverage ratio of 3.50 or lower, measured as of the last day of each fiscal quarter.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Free Cash Flow:</w:t>
            </w:r>
            <w:r>
              <w:rPr>
                <w:caps w:val="false"/>
                <w:smallCaps w:val="false"/>
              </w:rPr>
              <w:t xml:space="preserve"> </w:t>
            </w:r>
            <w:r>
              <w:rPr>
                <w:rFonts w:ascii="Times New Roman;Times;serif" w:hAnsi="Times New Roman;Times;serif"/>
                <w:b w:val="false"/>
                <w:i w:val="false"/>
                <w:caps w:val="false"/>
                <w:smallCaps w:val="false"/>
                <w:sz w:val="20"/>
              </w:rPr>
              <w:t>Calculated as net cash provided by operating activities minus capital expenditures, free cash flow serves as an indicator of the Company’s financial strength. However, this measure does not fully reflect the Company’s ability to deploy cash freely, as it has obligations such as debt repayments and other fixed commitments.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Backlog: </w:t>
            </w:r>
            <w:r>
              <w:rPr>
                <w:rFonts w:ascii="Times New Roman;Times;serif" w:hAnsi="Times New Roman;Times;serif"/>
                <w:b w:val="false"/>
                <w:i w:val="false"/>
                <w:caps w:val="false"/>
                <w:smallCaps w:val="false"/>
                <w:sz w:val="20"/>
              </w:rPr>
              <w:t>This operating measure is used to evaluate future potential sales revenue. An order is included in the backlog upon receipt of a customer purchase order or the execution of a sales order contract. Backlog is particularly relevant to the Infrastructure segment due to the longer-term nature of its projects. However, backlog is not a term defined under U.S. GAAP and does not measure contract profitability. It should not be viewed as the sole indicator of future revenue, as many projects with short lead times book-and-bill within the same reporting period and are not included in the backlog.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ROIC: </w:t>
            </w:r>
            <w:r>
              <w:rPr>
                <w:rFonts w:ascii="Times New Roman;Times;serif" w:hAnsi="Times New Roman;Times;serif"/>
                <w:b w:val="false"/>
                <w:i w:val="false"/>
                <w:caps w:val="false"/>
                <w:smallCaps w:val="false"/>
                <w:sz w:val="20"/>
              </w:rPr>
              <w:t>Return on invested capital (“ROIC”) and adjusted ROIC are key operating ratios that enable investors to assess our operating performance relative to the investment needed to generate operating profit. ROIC is calculated as after-tax operating income divided by the average of beginning and ending invested capital. Adjusted ROIC is calculated as after-tax adjusted operating income divided by the average of beginning and ending invested capital. Invested capital represents total assets minus total liabilities (excluding interest-bearing debt and redeemable noncontrolling interests).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0"/>
        <w:ind w:left="72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OF EFFECT OF SIGNIFICANT NON-RECURRING ITEMS ON REPORTED RESULTS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REGULATION G RECONCILIATION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8247" w:type="dxa"/>
        <w:jc w:val="left"/>
        <w:tblInd w:w="0" w:type="dxa"/>
        <w:tblLayout w:type="fixed"/>
        <w:tblCellMar>
          <w:top w:w="0" w:type="dxa"/>
          <w:left w:w="0" w:type="dxa"/>
          <w:bottom w:w="0" w:type="dxa"/>
          <w:right w:w="0" w:type="dxa"/>
        </w:tblCellMar>
      </w:tblPr>
      <w:tblGrid>
        <w:gridCol w:w="2986"/>
        <w:gridCol w:w="109"/>
        <w:gridCol w:w="262"/>
        <w:gridCol w:w="924"/>
        <w:gridCol w:w="346"/>
        <w:gridCol w:w="212"/>
        <w:gridCol w:w="749"/>
        <w:gridCol w:w="346"/>
        <w:gridCol w:w="278"/>
        <w:gridCol w:w="578"/>
        <w:gridCol w:w="346"/>
        <w:gridCol w:w="204"/>
        <w:gridCol w:w="907"/>
      </w:tblGrid>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515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 June 28, 2025</w:t>
            </w:r>
          </w:p>
        </w:tc>
      </w:tr>
      <w:tr>
        <w:trPr/>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Gross Profit Reconciliation</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0"/>
              <w:ind w:left="0" w:right="0" w:hanging="0"/>
              <w:jc w:val="left"/>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Corporate</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227,883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93,284</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321,167</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910</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non-recurring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profit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228,793</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93,968</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322,761</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763,092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287,456</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1,050,548</w:t>
            </w:r>
          </w:p>
        </w:tc>
      </w:tr>
      <w:tr>
        <w:trPr/>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86"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 as a %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w:t>
            </w:r>
          </w:p>
        </w:tc>
      </w:tr>
      <w:tr>
        <w:trPr/>
        <w:tc>
          <w:tcPr>
            <w:tcW w:w="298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profit as a % of net sales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30.7%</w:t>
            </w:r>
          </w:p>
        </w:tc>
      </w:tr>
    </w:tbl>
    <w:p>
      <w:pPr>
        <w:pStyle w:val="TextBody"/>
        <w:bidi w:val="0"/>
        <w:spacing w:before="0" w:after="0"/>
        <w:ind w:left="0" w:right="0" w:hanging="0"/>
        <w:jc w:val="left"/>
        <w:rPr/>
      </w:pPr>
      <w:r>
        <w:rPr/>
        <w:t>​</w:t>
      </w:r>
    </w:p>
    <w:tbl>
      <w:tblPr>
        <w:tblW w:w="8247" w:type="dxa"/>
        <w:jc w:val="left"/>
        <w:tblInd w:w="0" w:type="dxa"/>
        <w:tblLayout w:type="fixed"/>
        <w:tblCellMar>
          <w:top w:w="0" w:type="dxa"/>
          <w:left w:w="0" w:type="dxa"/>
          <w:bottom w:w="0" w:type="dxa"/>
          <w:right w:w="0" w:type="dxa"/>
        </w:tblCellMar>
      </w:tblPr>
      <w:tblGrid>
        <w:gridCol w:w="2986"/>
        <w:gridCol w:w="109"/>
        <w:gridCol w:w="227"/>
        <w:gridCol w:w="959"/>
        <w:gridCol w:w="346"/>
        <w:gridCol w:w="212"/>
        <w:gridCol w:w="749"/>
        <w:gridCol w:w="346"/>
        <w:gridCol w:w="278"/>
        <w:gridCol w:w="578"/>
        <w:gridCol w:w="346"/>
        <w:gridCol w:w="204"/>
        <w:gridCol w:w="907"/>
      </w:tblGrid>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515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 June 28, 2025</w:t>
            </w:r>
          </w:p>
        </w:tc>
      </w:tr>
      <w:tr>
        <w:trPr/>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Gross Profit Reconciliation</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0"/>
              <w:ind w:left="0" w:right="0" w:hanging="0"/>
              <w:jc w:val="left"/>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Corporate</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440,758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171,511</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612,269</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910</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non-recurring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profit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441,668</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172,195</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613,863</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1,466,583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553,279</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2,019,862</w:t>
            </w:r>
          </w:p>
        </w:tc>
      </w:tr>
      <w:tr>
        <w:trPr/>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86"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 as a %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r>
      <w:tr>
        <w:trPr/>
        <w:tc>
          <w:tcPr>
            <w:tcW w:w="298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profit as a % of net sales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30.4%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OF EFFECT OF SIGNIFICANT NON-RECURRING ITEMS ON REPORTED RESULTS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REGULATION G RECONCILIATION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8911" w:type="dxa"/>
        <w:jc w:val="left"/>
        <w:tblInd w:w="0" w:type="dxa"/>
        <w:tblLayout w:type="fixed"/>
        <w:tblCellMar>
          <w:top w:w="0" w:type="dxa"/>
          <w:left w:w="0" w:type="dxa"/>
          <w:bottom w:w="0" w:type="dxa"/>
          <w:right w:w="0" w:type="dxa"/>
        </w:tblCellMar>
      </w:tblPr>
      <w:tblGrid>
        <w:gridCol w:w="3826"/>
        <w:gridCol w:w="109"/>
        <w:gridCol w:w="262"/>
        <w:gridCol w:w="924"/>
        <w:gridCol w:w="346"/>
        <w:gridCol w:w="212"/>
        <w:gridCol w:w="749"/>
        <w:gridCol w:w="109"/>
        <w:gridCol w:w="196"/>
        <w:gridCol w:w="721"/>
        <w:gridCol w:w="346"/>
        <w:gridCol w:w="204"/>
        <w:gridCol w:w="907"/>
      </w:tblGrid>
      <w:tr>
        <w:trPr/>
        <w:tc>
          <w:tcPr>
            <w:tcW w:w="3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497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 June 28, 2025</w:t>
            </w:r>
          </w:p>
        </w:tc>
      </w:tr>
      <w:tr>
        <w:trPr/>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Income (Loss) Reconciliation</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Corporate</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25,914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36,051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(32,689)</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29,276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89,356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4,572</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9,794</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non-recurring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10,949</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operating income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124,637</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44,836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(28,117)</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141,356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763,092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287,456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1,050,548</w:t>
            </w:r>
          </w:p>
        </w:tc>
      </w:tr>
      <w:tr>
        <w:trPr/>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26"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 as a %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382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operating income (loss) as a % of net sales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13.5%</w:t>
            </w:r>
          </w:p>
        </w:tc>
      </w:tr>
    </w:tbl>
    <w:p>
      <w:pPr>
        <w:pStyle w:val="TextBody"/>
        <w:bidi w:val="0"/>
        <w:spacing w:before="0" w:after="0"/>
        <w:ind w:left="0" w:right="0" w:hanging="0"/>
        <w:jc w:val="left"/>
        <w:rPr/>
      </w:pPr>
      <w:r>
        <w:rPr/>
        <w:t>​</w:t>
      </w:r>
    </w:p>
    <w:tbl>
      <w:tblPr>
        <w:tblW w:w="8911" w:type="dxa"/>
        <w:jc w:val="left"/>
        <w:tblInd w:w="0" w:type="dxa"/>
        <w:tblLayout w:type="fixed"/>
        <w:tblCellMar>
          <w:top w:w="0" w:type="dxa"/>
          <w:left w:w="0" w:type="dxa"/>
          <w:bottom w:w="0" w:type="dxa"/>
          <w:right w:w="0" w:type="dxa"/>
        </w:tblCellMar>
      </w:tblPr>
      <w:tblGrid>
        <w:gridCol w:w="3826"/>
        <w:gridCol w:w="109"/>
        <w:gridCol w:w="227"/>
        <w:gridCol w:w="959"/>
        <w:gridCol w:w="346"/>
        <w:gridCol w:w="212"/>
        <w:gridCol w:w="749"/>
        <w:gridCol w:w="109"/>
        <w:gridCol w:w="196"/>
        <w:gridCol w:w="721"/>
        <w:gridCol w:w="346"/>
        <w:gridCol w:w="204"/>
        <w:gridCol w:w="907"/>
      </w:tblGrid>
      <w:tr>
        <w:trPr/>
        <w:tc>
          <w:tcPr>
            <w:tcW w:w="3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497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 weeks ended June 28, 2025</w:t>
            </w:r>
          </w:p>
        </w:tc>
      </w:tr>
      <w:tr>
        <w:trPr/>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Income (Loss) Reconciliation</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Corporate</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143,126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72,288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(57,824)</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157,590</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89,356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4,572</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9,794</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non-recurring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10,949</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operating income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241,849</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81,073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(53,252)</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269,670</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1,466,583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553,279</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2,019,862</w:t>
            </w:r>
          </w:p>
        </w:tc>
      </w:tr>
      <w:tr>
        <w:trPr/>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26"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 as a %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r>
      <w:tr>
        <w:trPr/>
        <w:tc>
          <w:tcPr>
            <w:tcW w:w="382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operating income (loss) as a % of net sales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OF EFFECT OF SIGNIFICANT NON-RECURRING ITEMS ON REPORTED RESULTS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REGULATION G RECONCILIATION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8765" w:type="dxa"/>
        <w:jc w:val="left"/>
        <w:tblInd w:w="0" w:type="dxa"/>
        <w:tblLayout w:type="fixed"/>
        <w:tblCellMar>
          <w:top w:w="0" w:type="dxa"/>
          <w:left w:w="0" w:type="dxa"/>
          <w:bottom w:w="0" w:type="dxa"/>
          <w:right w:w="0" w:type="dxa"/>
        </w:tblCellMar>
      </w:tblPr>
      <w:tblGrid>
        <w:gridCol w:w="4246"/>
        <w:gridCol w:w="109"/>
        <w:gridCol w:w="238"/>
        <w:gridCol w:w="843"/>
        <w:gridCol w:w="109"/>
        <w:gridCol w:w="199"/>
        <w:gridCol w:w="611"/>
        <w:gridCol w:w="109"/>
        <w:gridCol w:w="238"/>
        <w:gridCol w:w="843"/>
        <w:gridCol w:w="109"/>
        <w:gridCol w:w="241"/>
        <w:gridCol w:w="870"/>
      </w:tblGrid>
      <w:tr>
        <w:trPr/>
        <w:tc>
          <w:tcPr>
            <w:tcW w:w="4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w:t>
            </w:r>
          </w:p>
        </w:tc>
        <w:tc>
          <w:tcPr>
            <w:tcW w:w="109" w:type="dxa"/>
            <w:tcBorders/>
            <w:vAlign w:val="center"/>
          </w:tcPr>
          <w:p>
            <w:pPr>
              <w:pStyle w:val="TableContents"/>
              <w:bidi w:val="0"/>
              <w:spacing w:before="0" w:after="0"/>
              <w:ind w:left="0" w:right="0" w:hanging="0"/>
              <w:jc w:val="left"/>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Diluted</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Twenty-six</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left"/>
              <w:rPr/>
            </w:pPr>
            <w:r>
              <w:rPr/>
              <w:t>​</w:t>
            </w:r>
          </w:p>
        </w:tc>
      </w:tr>
      <w:tr>
        <w:trPr/>
        <w:tc>
          <w:tcPr>
            <w:tcW w:w="4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weeks ended</w:t>
            </w:r>
          </w:p>
        </w:tc>
        <w:tc>
          <w:tcPr>
            <w:tcW w:w="109" w:type="dxa"/>
            <w:tcBorders/>
            <w:vAlign w:val="center"/>
          </w:tcPr>
          <w:p>
            <w:pPr>
              <w:pStyle w:val="TableContents"/>
              <w:bidi w:val="0"/>
              <w:spacing w:before="0" w:after="0"/>
              <w:ind w:left="0" w:right="0" w:hanging="0"/>
              <w:jc w:val="left"/>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earnings </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weeks ended</w:t>
            </w:r>
          </w:p>
        </w:tc>
        <w:tc>
          <w:tcPr>
            <w:tcW w:w="109" w:type="dxa"/>
            <w:tcBorders/>
            <w:vAlign w:val="center"/>
          </w:tcPr>
          <w:p>
            <w:pPr>
              <w:pStyle w:val="TableContents"/>
              <w:bidi w:val="0"/>
              <w:spacing w:before="0" w:after="0"/>
              <w:ind w:left="0" w:right="0" w:hanging="0"/>
              <w:jc w:val="left"/>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Diluted</w:t>
            </w:r>
          </w:p>
        </w:tc>
      </w:tr>
      <w:tr>
        <w:trPr/>
        <w:tc>
          <w:tcPr>
            <w:tcW w:w="4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109" w:type="dxa"/>
            <w:tcBorders/>
            <w:vAlign w:val="center"/>
          </w:tcPr>
          <w:p>
            <w:pPr>
              <w:pStyle w:val="TableContents"/>
              <w:bidi w:val="0"/>
              <w:spacing w:before="0" w:after="0"/>
              <w:ind w:left="0" w:right="0" w:hanging="0"/>
              <w:jc w:val="left"/>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(loss) per</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28,</w:t>
            </w:r>
          </w:p>
        </w:tc>
        <w:tc>
          <w:tcPr>
            <w:tcW w:w="109" w:type="dxa"/>
            <w:tcBorders/>
            <w:vAlign w:val="center"/>
          </w:tcPr>
          <w:p>
            <w:pPr>
              <w:pStyle w:val="TableContents"/>
              <w:bidi w:val="0"/>
              <w:spacing w:before="0" w:after="0"/>
              <w:ind w:left="0" w:right="0" w:hanging="0"/>
              <w:jc w:val="left"/>
              <w:rPr/>
            </w:pPr>
            <w:r>
              <w:rPr/>
              <w:t>​</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earnings per</w:t>
            </w:r>
          </w:p>
        </w:tc>
      </w:tr>
      <w:tr>
        <w:trPr/>
        <w:tc>
          <w:tcPr>
            <w:tcW w:w="4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share</w:t>
            </w:r>
            <w:r>
              <w:rPr>
                <w:rFonts w:ascii="Times New Roman;Times;serif" w:hAnsi="Times New Roman;Times;serif"/>
                <w:b/>
                <w:sz w:val="14"/>
              </w:rPr>
              <w:t>1,2</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share</w:t>
            </w:r>
            <w:r>
              <w:rPr>
                <w:rFonts w:ascii="Times New Roman;Times;serif" w:hAnsi="Times New Roman;Times;serif"/>
                <w:b/>
                <w:sz w:val="14"/>
              </w:rPr>
              <w:t>1,2</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(loss) attributable to Valmont Industries,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vAlign w:val="center"/>
          </w:tcPr>
          <w:p>
            <w:pPr>
              <w:pStyle w:val="TableContents"/>
              <w:bidi w:val="0"/>
              <w:spacing w:before="0" w:after="0"/>
              <w:ind w:left="0" w:right="0" w:hanging="0"/>
              <w:jc w:val="center"/>
              <w:rPr/>
            </w:pPr>
            <w:r>
              <w:rPr/>
              <w:t>​</w:t>
            </w:r>
          </w:p>
        </w:tc>
        <w:tc>
          <w:tcPr>
            <w:tcW w:w="84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center"/>
              <w:rPr/>
            </w:pPr>
            <w:r>
              <w:rPr/>
              <w:t>​</w:t>
            </w:r>
          </w:p>
        </w:tc>
        <w:tc>
          <w:tcPr>
            <w:tcW w:w="6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84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 including change in redemption value of</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vAlign w:val="center"/>
          </w:tcPr>
          <w:p>
            <w:pPr>
              <w:pStyle w:val="TableContents"/>
              <w:bidi w:val="0"/>
              <w:spacing w:before="0" w:after="0"/>
              <w:ind w:left="0" w:right="0" w:hanging="0"/>
              <w:jc w:val="center"/>
              <w:rPr/>
            </w:pPr>
            <w:r>
              <w:rPr/>
              <w:t>​</w:t>
            </w:r>
          </w:p>
        </w:tc>
        <w:tc>
          <w:tcPr>
            <w:tcW w:w="84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center"/>
              <w:rPr/>
            </w:pPr>
            <w:r>
              <w:rPr/>
              <w:t>​</w:t>
            </w:r>
          </w:p>
        </w:tc>
        <w:tc>
          <w:tcPr>
            <w:tcW w:w="6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84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redeemable noncontrolling interests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(30,263)</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56,998</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Change in redemption value of redeemable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noncontrolling interests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26,243</w:t>
            </w:r>
          </w:p>
        </w:tc>
        <w:tc>
          <w:tcPr>
            <w:tcW w:w="109"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109"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26,243</w:t>
            </w:r>
          </w:p>
        </w:tc>
        <w:tc>
          <w:tcPr>
            <w:tcW w:w="109"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(loss) attributable to Valmont Industries, Inc.</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(4,020)</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(0.20)</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83,241</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r>
              <w:rPr>
                <w:rFonts w:ascii="Times New Roman;Times;serif" w:hAnsi="Times New Roman;Times;serif"/>
                <w:sz w:val="14"/>
              </w:rPr>
              <w:t>5</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9,794</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0.49</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9,794</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0.49</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non-recurring charges</w:t>
            </w:r>
            <w:r>
              <w:rPr>
                <w:rFonts w:ascii="Times New Roman;Times;serif" w:hAnsi="Times New Roman;Times;serif"/>
                <w:sz w:val="14"/>
              </w:rPr>
              <w:t>6</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10,949</w:t>
            </w:r>
          </w:p>
        </w:tc>
        <w:tc>
          <w:tcPr>
            <w:tcW w:w="109"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0.55</w:t>
            </w:r>
          </w:p>
        </w:tc>
        <w:tc>
          <w:tcPr>
            <w:tcW w:w="109"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10,949</w:t>
            </w:r>
          </w:p>
        </w:tc>
        <w:tc>
          <w:tcPr>
            <w:tcW w:w="109"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0.55</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adjustments, pre-tax</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112,080</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5.62</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112,080</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5.59</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effect of adjustments</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(10,862)</w:t>
            </w:r>
          </w:p>
        </w:tc>
        <w:tc>
          <w:tcPr>
            <w:tcW w:w="109" w:type="dxa"/>
            <w:tcBorders/>
            <w:vAlign w:val="center"/>
          </w:tcPr>
          <w:p>
            <w:pPr>
              <w:pStyle w:val="TableContents"/>
              <w:bidi w:val="0"/>
              <w:spacing w:before="0" w:after="0"/>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(0.55)</w:t>
            </w:r>
          </w:p>
        </w:tc>
        <w:tc>
          <w:tcPr>
            <w:tcW w:w="109"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(10,862)</w:t>
            </w:r>
          </w:p>
        </w:tc>
        <w:tc>
          <w:tcPr>
            <w:tcW w:w="109"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(0.54)</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earnings attributable to Valmont Industries, Inc. - </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97,198</w:t>
            </w:r>
          </w:p>
        </w:tc>
        <w:tc>
          <w:tcPr>
            <w:tcW w:w="109" w:type="dxa"/>
            <w:tcBorders/>
            <w:vAlign w:val="center"/>
          </w:tcPr>
          <w:p>
            <w:pPr>
              <w:pStyle w:val="TableContents"/>
              <w:bidi w:val="0"/>
              <w:spacing w:before="0" w:after="0"/>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w:t>
            </w:r>
          </w:p>
        </w:tc>
        <w:tc>
          <w:tcPr>
            <w:tcW w:w="109"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184,459</w:t>
            </w:r>
          </w:p>
        </w:tc>
        <w:tc>
          <w:tcPr>
            <w:tcW w:w="109"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9.19</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shares outstanding - diluted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19,930</w:t>
            </w:r>
          </w:p>
        </w:tc>
        <w:tc>
          <w:tcPr>
            <w:tcW w:w="109"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20,063</w:t>
            </w:r>
          </w:p>
        </w:tc>
      </w:tr>
    </w:tbl>
    <w:p>
      <w:pPr>
        <w:pStyle w:val="TextBody"/>
        <w:bidi w:val="0"/>
        <w:spacing w:before="240" w:after="12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In the second quarter of fiscal 2025, the Company reported a GAAP net loss. In periods in which the Company recognizes a net loss, the Company excludes the impact of outstanding stock awards from the diluted loss per share calculation, as their inclusion would have an anti-dilutive effect. The adjusted diluted earnings per share calculation includes the impact of outstanding stock awards.</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Diluted earnings (loss) per share includes rounding.</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The tax effect of adjustments is calculated based on the income tax rate in each applicable jurisdiction.</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4"/>
        </w:rPr>
        <w:t>4</w:t>
      </w:r>
      <w:r>
        <w:rPr>
          <w:rFonts w:ascii="Times New Roman;Times;serif" w:hAnsi="Times New Roman;Times;serif"/>
          <w:sz w:val="18"/>
        </w:rPr>
        <w:t>The Company recorded non-cash impairment charges of $71.1 million for goodwill and certain intangible assets in the Solar and Access Systems businesses and recorded $20.2 million for other long-lived assets that will no longer be utilized.</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4"/>
        </w:rPr>
        <w:t>5</w:t>
      </w:r>
      <w:r>
        <w:rPr>
          <w:rFonts w:ascii="Times New Roman;Times;serif" w:hAnsi="Times New Roman;Times;serif"/>
          <w:sz w:val="18"/>
        </w:rPr>
        <w:t>The Company took realignment actions resulting in pre-tax charges of $9.8 million, primarily severance-related.</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4"/>
        </w:rPr>
        <w:t>6</w:t>
      </w:r>
      <w:r>
        <w:rPr>
          <w:rFonts w:ascii="Times New Roman;Times;serif" w:hAnsi="Times New Roman;Times;serif"/>
          <w:sz w:val="18"/>
        </w:rPr>
        <w:t>Other non-recurring charges consist of costs to fulfill contractually required payments for system licenses no longer needed and asset valuation adjustments for a joint venture ag solar business.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0"/>
        <w:ind w:left="72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REGULATION G RECONCILIATION OF ADJUSTED EBITDA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6080" w:type="dxa"/>
        <w:jc w:val="left"/>
        <w:tblInd w:w="0" w:type="dxa"/>
        <w:tblLayout w:type="fixed"/>
        <w:tblCellMar>
          <w:top w:w="0" w:type="dxa"/>
          <w:left w:w="0" w:type="dxa"/>
          <w:bottom w:w="0" w:type="dxa"/>
          <w:right w:w="0" w:type="dxa"/>
        </w:tblCellMar>
      </w:tblPr>
      <w:tblGrid>
        <w:gridCol w:w="3796"/>
        <w:gridCol w:w="109"/>
        <w:gridCol w:w="429"/>
        <w:gridCol w:w="1746"/>
      </w:tblGrid>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Four fiscal quarters ended</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475,328</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38,725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49,889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(4,631)</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Redeemable noncontrolling interests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periodic pension cost</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(2,677)</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Contribution to defined benefit pension plan</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2,553</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149,847</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activities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acquisition adjustment</w:t>
            </w:r>
          </w:p>
        </w:tc>
        <w:tc>
          <w:tcPr>
            <w:tcW w:w="109" w:type="dxa"/>
            <w:tcBorders/>
            <w:vAlign w:val="center"/>
          </w:tcPr>
          <w:p>
            <w:pPr>
              <w:pStyle w:val="TableContents"/>
              <w:bidi w:val="0"/>
              <w:spacing w:before="0" w:after="0"/>
              <w:ind w:left="0" w:right="0" w:hanging="0"/>
              <w:jc w:val="left"/>
              <w:rPr/>
            </w:pPr>
            <w:r>
              <w:rPr/>
              <w:t>​</w:t>
            </w:r>
          </w:p>
        </w:tc>
        <w:tc>
          <w:tcPr>
            <w:tcW w:w="4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09" w:type="dxa"/>
            <w:tcBorders/>
            <w:vAlign w:val="center"/>
          </w:tcPr>
          <w:p>
            <w:pPr>
              <w:pStyle w:val="TableContents"/>
              <w:bidi w:val="0"/>
              <w:spacing w:before="0" w:after="0"/>
              <w:ind w:left="0" w:right="0" w:hanging="0"/>
              <w:jc w:val="left"/>
              <w:rPr/>
            </w:pPr>
            <w:r>
              <w:rPr/>
              <w:t>​</w:t>
            </w:r>
          </w:p>
        </w:tc>
        <w:tc>
          <w:tcPr>
            <w:tcW w:w="4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717,828</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center"/>
              <w:rPr/>
            </w:pPr>
            <w:r>
              <w:rPr/>
              <w:t>​</w:t>
            </w:r>
          </w:p>
        </w:tc>
        <w:tc>
          <w:tcPr>
            <w:tcW w:w="1746" w:type="dxa"/>
            <w:tcBorders/>
            <w:vAlign w:val="center"/>
          </w:tcPr>
          <w:p>
            <w:pPr>
              <w:pStyle w:val="TableContents"/>
              <w:bidi w:val="0"/>
              <w:spacing w:before="0" w:after="0"/>
              <w:ind w:left="0" w:right="0" w:hanging="0"/>
              <w:jc w:val="center"/>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494,983</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38,725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49,889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91,560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22,350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activities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acquisition adjustment</w:t>
            </w:r>
          </w:p>
        </w:tc>
        <w:tc>
          <w:tcPr>
            <w:tcW w:w="109" w:type="dxa"/>
            <w:tcBorders/>
            <w:vAlign w:val="center"/>
          </w:tcPr>
          <w:p>
            <w:pPr>
              <w:pStyle w:val="TableContents"/>
              <w:bidi w:val="0"/>
              <w:spacing w:before="0" w:after="0"/>
              <w:ind w:left="0" w:right="0" w:hanging="0"/>
              <w:jc w:val="left"/>
              <w:rPr/>
            </w:pPr>
            <w:r>
              <w:rPr/>
              <w:t>​</w:t>
            </w:r>
          </w:p>
        </w:tc>
        <w:tc>
          <w:tcPr>
            <w:tcW w:w="4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09" w:type="dxa"/>
            <w:tcBorders/>
            <w:vAlign w:val="center"/>
          </w:tcPr>
          <w:p>
            <w:pPr>
              <w:pStyle w:val="TableContents"/>
              <w:bidi w:val="0"/>
              <w:spacing w:before="0" w:after="0"/>
              <w:ind w:left="0" w:right="0" w:hanging="0"/>
              <w:jc w:val="left"/>
              <w:rPr/>
            </w:pPr>
            <w:r>
              <w:rPr/>
              <w:t>​</w:t>
            </w:r>
          </w:p>
        </w:tc>
        <w:tc>
          <w:tcPr>
            <w:tcW w:w="4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717,828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REGULATION G RECONCILIATION OF LEVERAGE RATIO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6619" w:type="dxa"/>
        <w:jc w:val="left"/>
        <w:tblInd w:w="0" w:type="dxa"/>
        <w:tblLayout w:type="fixed"/>
        <w:tblCellMar>
          <w:top w:w="0" w:type="dxa"/>
          <w:left w:w="0" w:type="dxa"/>
          <w:bottom w:w="0" w:type="dxa"/>
          <w:right w:w="0" w:type="dxa"/>
        </w:tblCellMar>
      </w:tblPr>
      <w:tblGrid>
        <w:gridCol w:w="5341"/>
        <w:gridCol w:w="346"/>
        <w:gridCol w:w="196"/>
        <w:gridCol w:w="736"/>
      </w:tblGrid>
      <w:tr>
        <w:trPr/>
        <w:tc>
          <w:tcPr>
            <w:tcW w:w="5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53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r>
      <w:tr>
        <w:trPr/>
        <w:tc>
          <w:tcPr>
            <w:tcW w:w="5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debt, excluding origination fees and discounts of $24,522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755,207</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Cash and cash equivalents in excess of $50,000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89,051</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indebtedness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666,156</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717,828</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Leverage ratio</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0.93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0"/>
        <w:ind w:left="72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BACKLOG</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millions)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3800" w:type="dxa"/>
        <w:jc w:val="left"/>
        <w:tblInd w:w="0" w:type="dxa"/>
        <w:tblLayout w:type="fixed"/>
        <w:tblCellMar>
          <w:top w:w="0" w:type="dxa"/>
          <w:left w:w="0" w:type="dxa"/>
          <w:bottom w:w="0" w:type="dxa"/>
          <w:right w:w="0" w:type="dxa"/>
        </w:tblCellMar>
      </w:tblPr>
      <w:tblGrid>
        <w:gridCol w:w="1081"/>
        <w:gridCol w:w="346"/>
        <w:gridCol w:w="196"/>
        <w:gridCol w:w="646"/>
        <w:gridCol w:w="346"/>
        <w:gridCol w:w="245"/>
        <w:gridCol w:w="940"/>
      </w:tblGrid>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27,</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1,583.6</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1,548.3</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backlog</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1,674.9</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1,653.7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5038</Words>
  <Characters>29840</Characters>
  <CharactersWithSpaces>36041</CharactersWithSpaces>
  <Paragraphs>3677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