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Valmont Industries,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120" w:type="dxa"/>
        <w:tblCellMar>
          <w:top w:w="0" w:type="dxa"/>
          <w:left w:w="0" w:type="dxa"/>
          <w:bottom w:w="0" w:type="dxa"/>
          <w:right w:w="0" w:type="dxa"/>
        </w:tblCellMar>
      </w:tblPr>
      <w:tr>
        <w:trPr>
          <w:trHeight w:val="252"/>
        </w:trPr>
        <w:tc>
          <w:tcPr>
            <w:tcW w:w="3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color w:val="auto"/>
                <w:w w:val="96"/>
              </w:rPr>
              <w:t>Delaware</w:t>
            </w:r>
          </w:p>
        </w:tc>
        <w:tc>
          <w:tcPr>
            <w:tcW w:w="246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20"/>
                <w:szCs w:val="20"/>
                <w:color w:val="auto"/>
              </w:rPr>
              <w:t>1-31429</w:t>
            </w:r>
          </w:p>
        </w:tc>
        <w:tc>
          <w:tcPr>
            <w:tcW w:w="318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color w:val="auto"/>
              </w:rPr>
              <w:t>47-0351813</w:t>
            </w:r>
          </w:p>
        </w:tc>
      </w:tr>
      <w:tr>
        <w:trPr>
          <w:trHeight w:val="200"/>
        </w:trPr>
        <w:tc>
          <w:tcPr>
            <w:tcW w:w="3140" w:type="dxa"/>
            <w:vAlign w:val="bottom"/>
          </w:tcPr>
          <w:p>
            <w:pPr>
              <w:jc w:val="center"/>
              <w:ind w:right="61"/>
              <w:spacing w:after="0" w:line="200" w:lineRule="exact"/>
              <w:rPr>
                <w:sz w:val="20"/>
                <w:szCs w:val="20"/>
                <w:color w:val="auto"/>
              </w:rPr>
            </w:pPr>
            <w:r>
              <w:rPr>
                <w:rFonts w:ascii="Times New Roman" w:cs="Times New Roman" w:eastAsia="Times New Roman" w:hAnsi="Times New Roman"/>
                <w:sz w:val="20"/>
                <w:szCs w:val="20"/>
                <w:color w:val="auto"/>
                <w:w w:val="95"/>
              </w:rPr>
              <w:t>(State or other jurisdiction of</w:t>
            </w:r>
          </w:p>
        </w:tc>
        <w:tc>
          <w:tcPr>
            <w:tcW w:w="2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color w:val="auto"/>
                <w:w w:val="95"/>
              </w:rPr>
              <w:t>(Commission File Number)</w:t>
            </w:r>
          </w:p>
        </w:tc>
        <w:tc>
          <w:tcPr>
            <w:tcW w:w="3180" w:type="dxa"/>
            <w:vAlign w:val="bottom"/>
          </w:tcPr>
          <w:p>
            <w:pPr>
              <w:jc w:val="center"/>
              <w:ind w:left="1"/>
              <w:spacing w:after="0" w:line="200" w:lineRule="exact"/>
              <w:rPr>
                <w:sz w:val="20"/>
                <w:szCs w:val="20"/>
                <w:color w:val="auto"/>
              </w:rPr>
            </w:pPr>
            <w:r>
              <w:rPr>
                <w:rFonts w:ascii="Times New Roman" w:cs="Times New Roman" w:eastAsia="Times New Roman" w:hAnsi="Times New Roman"/>
                <w:sz w:val="20"/>
                <w:szCs w:val="20"/>
                <w:color w:val="auto"/>
                <w:w w:val="95"/>
              </w:rPr>
              <w:t>(IRS Employer Identification No.)</w:t>
            </w:r>
          </w:p>
        </w:tc>
      </w:tr>
      <w:tr>
        <w:trPr>
          <w:trHeight w:val="258"/>
        </w:trPr>
        <w:tc>
          <w:tcPr>
            <w:tcW w:w="3140" w:type="dxa"/>
            <w:vAlign w:val="bottom"/>
          </w:tcPr>
          <w:p>
            <w:pPr>
              <w:jc w:val="center"/>
              <w:ind w:right="61"/>
              <w:spacing w:after="0"/>
              <w:rPr>
                <w:sz w:val="20"/>
                <w:szCs w:val="20"/>
                <w:color w:val="auto"/>
              </w:rPr>
            </w:pPr>
            <w:r>
              <w:rPr>
                <w:rFonts w:ascii="Times New Roman" w:cs="Times New Roman" w:eastAsia="Times New Roman" w:hAnsi="Times New Roman"/>
                <w:sz w:val="20"/>
                <w:szCs w:val="20"/>
                <w:color w:val="auto"/>
                <w:w w:val="96"/>
              </w:rPr>
              <w:t>incorporation)</w:t>
            </w:r>
          </w:p>
        </w:tc>
        <w:tc>
          <w:tcPr>
            <w:tcW w:w="246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660"/>
        </w:trPr>
        <w:tc>
          <w:tcPr>
            <w:tcW w:w="3140" w:type="dxa"/>
            <w:vAlign w:val="bottom"/>
          </w:tcPr>
          <w:p>
            <w:pPr>
              <w:jc w:val="center"/>
              <w:ind w:left="1121"/>
              <w:spacing w:after="0"/>
              <w:rPr>
                <w:sz w:val="20"/>
                <w:szCs w:val="20"/>
                <w:color w:val="auto"/>
              </w:rPr>
            </w:pPr>
            <w:r>
              <w:rPr>
                <w:rFonts w:ascii="Times New Roman" w:cs="Times New Roman" w:eastAsia="Times New Roman" w:hAnsi="Times New Roman"/>
                <w:sz w:val="20"/>
                <w:szCs w:val="20"/>
                <w:color w:val="auto"/>
                <w:w w:val="94"/>
              </w:rPr>
              <w:t>15000 Valmont Plaza</w:t>
            </w:r>
          </w:p>
        </w:tc>
        <w:tc>
          <w:tcPr>
            <w:tcW w:w="24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52"/>
        </w:trPr>
        <w:tc>
          <w:tcPr>
            <w:tcW w:w="3140" w:type="dxa"/>
            <w:vAlign w:val="bottom"/>
            <w:tcBorders>
              <w:bottom w:val="single" w:sz="8" w:color="auto"/>
            </w:tcBorders>
          </w:tcPr>
          <w:p>
            <w:pPr>
              <w:jc w:val="center"/>
              <w:ind w:left="1141"/>
              <w:spacing w:after="0"/>
              <w:rPr>
                <w:sz w:val="20"/>
                <w:szCs w:val="20"/>
                <w:color w:val="auto"/>
              </w:rPr>
            </w:pPr>
            <w:r>
              <w:rPr>
                <w:rFonts w:ascii="Times New Roman" w:cs="Times New Roman" w:eastAsia="Times New Roman" w:hAnsi="Times New Roman"/>
                <w:sz w:val="20"/>
                <w:szCs w:val="20"/>
                <w:color w:val="auto"/>
                <w:w w:val="95"/>
              </w:rPr>
              <w:t>Omaha, NE</w:t>
            </w:r>
          </w:p>
        </w:tc>
        <w:tc>
          <w:tcPr>
            <w:tcW w:w="24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1861"/>
              <w:spacing w:after="0"/>
              <w:rPr>
                <w:sz w:val="20"/>
                <w:szCs w:val="20"/>
                <w:color w:val="auto"/>
              </w:rPr>
            </w:pPr>
            <w:r>
              <w:rPr>
                <w:rFonts w:ascii="Times New Roman" w:cs="Times New Roman" w:eastAsia="Times New Roman" w:hAnsi="Times New Roman"/>
                <w:sz w:val="20"/>
                <w:szCs w:val="20"/>
                <w:color w:val="auto"/>
              </w:rPr>
              <w:t>68154</w:t>
            </w:r>
          </w:p>
        </w:tc>
      </w:tr>
      <w:tr>
        <w:trPr>
          <w:trHeight w:val="252"/>
        </w:trPr>
        <w:tc>
          <w:tcPr>
            <w:tcW w:w="5600" w:type="dxa"/>
            <w:vAlign w:val="bottom"/>
            <w:gridSpan w:val="2"/>
          </w:tcPr>
          <w:p>
            <w:pPr>
              <w:jc w:val="center"/>
              <w:ind w:right="1121"/>
              <w:spacing w:after="0"/>
              <w:rPr>
                <w:sz w:val="20"/>
                <w:szCs w:val="20"/>
                <w:color w:val="auto"/>
              </w:rPr>
            </w:pPr>
            <w:r>
              <w:rPr>
                <w:rFonts w:ascii="Times New Roman" w:cs="Times New Roman" w:eastAsia="Times New Roman" w:hAnsi="Times New Roman"/>
                <w:sz w:val="20"/>
                <w:szCs w:val="20"/>
                <w:color w:val="auto"/>
                <w:w w:val="95"/>
              </w:rPr>
              <w:t>(Address of principal executive offices)</w:t>
            </w:r>
          </w:p>
        </w:tc>
        <w:tc>
          <w:tcPr>
            <w:tcW w:w="3180" w:type="dxa"/>
            <w:vAlign w:val="bottom"/>
          </w:tcPr>
          <w:p>
            <w:pPr>
              <w:jc w:val="center"/>
              <w:ind w:right="1141"/>
              <w:spacing w:after="0"/>
              <w:rPr>
                <w:sz w:val="20"/>
                <w:szCs w:val="20"/>
                <w:color w:val="auto"/>
              </w:rPr>
            </w:pPr>
            <w:r>
              <w:rPr>
                <w:rFonts w:ascii="Times New Roman" w:cs="Times New Roman" w:eastAsia="Times New Roman" w:hAnsi="Times New Roman"/>
                <w:sz w:val="20"/>
                <w:szCs w:val="20"/>
                <w:color w:val="auto"/>
                <w:w w:val="97"/>
              </w:rPr>
              <w:t>(Zip Code)</w:t>
            </w:r>
          </w:p>
        </w:tc>
      </w:tr>
      <w:tr>
        <w:trPr>
          <w:trHeight w:val="679"/>
        </w:trPr>
        <w:tc>
          <w:tcPr>
            <w:tcW w:w="5600" w:type="dxa"/>
            <w:vAlign w:val="bottom"/>
            <w:gridSpan w:val="2"/>
          </w:tcPr>
          <w:p>
            <w:pPr>
              <w:ind w:left="1820"/>
              <w:spacing w:after="0"/>
              <w:rPr>
                <w:sz w:val="20"/>
                <w:szCs w:val="20"/>
                <w:color w:val="auto"/>
              </w:rPr>
            </w:pPr>
            <w:r>
              <w:rPr>
                <w:rFonts w:ascii="Times New Roman" w:cs="Times New Roman" w:eastAsia="Times New Roman" w:hAnsi="Times New Roman"/>
                <w:sz w:val="20"/>
                <w:szCs w:val="20"/>
                <w:color w:val="auto"/>
              </w:rPr>
              <w:t>William E. Johnson, Chief Accounting Officer</w:t>
            </w:r>
          </w:p>
        </w:tc>
        <w:tc>
          <w:tcPr>
            <w:tcW w:w="3180" w:type="dxa"/>
            <w:vAlign w:val="bottom"/>
          </w:tcPr>
          <w:p>
            <w:pPr>
              <w:jc w:val="right"/>
              <w:ind w:right="1741"/>
              <w:spacing w:after="0"/>
              <w:rPr>
                <w:sz w:val="20"/>
                <w:szCs w:val="20"/>
                <w:color w:val="auto"/>
              </w:rPr>
            </w:pPr>
            <w:r>
              <w:rPr>
                <w:rFonts w:ascii="Times New Roman" w:cs="Times New Roman" w:eastAsia="Times New Roman" w:hAnsi="Times New Roman"/>
                <w:sz w:val="20"/>
                <w:szCs w:val="20"/>
                <w:color w:val="auto"/>
              </w:rPr>
              <w:t>(402) 963-1000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55721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2125"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200" w:lineRule="exact"/>
        <w:rPr>
          <w:sz w:val="24"/>
          <w:szCs w:val="24"/>
          <w:color w:val="auto"/>
        </w:rPr>
      </w:pPr>
    </w:p>
    <w:p>
      <w:pPr>
        <w:spacing w:after="0" w:line="230" w:lineRule="exact"/>
        <w:rPr>
          <w:sz w:val="24"/>
          <w:szCs w:val="24"/>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186" w:lineRule="exact"/>
        <w:rPr>
          <w:sz w:val="24"/>
          <w:szCs w:val="24"/>
          <w:color w:val="auto"/>
        </w:rPr>
      </w:pPr>
    </w:p>
    <w:p>
      <w:pPr>
        <w:ind w:left="200" w:right="219" w:firstLine="102"/>
        <w:spacing w:after="0" w:line="269" w:lineRule="auto"/>
        <w:tabs>
          <w:tab w:leader="none" w:pos="530" w:val="left"/>
        </w:tabs>
        <w:numPr>
          <w:ilvl w:val="0"/>
          <w:numId w:val="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3"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Item 1.01 </w:t>
      </w:r>
      <w:r>
        <w:rPr>
          <w:rFonts w:ascii="Times New Roman" w:cs="Times New Roman" w:eastAsia="Times New Roman" w:hAnsi="Times New Roman"/>
          <w:sz w:val="22"/>
          <w:szCs w:val="22"/>
          <w:u w:val="single" w:color="auto"/>
          <w:color w:val="auto"/>
        </w:rPr>
        <w:t>Conflict Minerals Disclosure and Report</w:t>
      </w:r>
    </w:p>
    <w:p>
      <w:pPr>
        <w:spacing w:after="0" w:line="206" w:lineRule="exact"/>
        <w:rPr>
          <w:sz w:val="20"/>
          <w:szCs w:val="20"/>
          <w:color w:val="auto"/>
        </w:rPr>
      </w:pPr>
    </w:p>
    <w:p>
      <w:pPr>
        <w:ind w:left="200" w:right="319" w:firstLine="648"/>
        <w:spacing w:after="0" w:line="258" w:lineRule="auto"/>
        <w:rPr>
          <w:sz w:val="20"/>
          <w:szCs w:val="20"/>
          <w:color w:val="auto"/>
        </w:rPr>
      </w:pPr>
      <w:r>
        <w:rPr>
          <w:rFonts w:ascii="Times New Roman" w:cs="Times New Roman" w:eastAsia="Times New Roman" w:hAnsi="Times New Roman"/>
          <w:sz w:val="22"/>
          <w:szCs w:val="22"/>
          <w:color w:val="auto"/>
        </w:rPr>
        <w:t>The Conflict Minerals Report of Valmont Industries, Inc. is attached hereto as Exhibit 1.01 and incorporated by this reference.</w:t>
      </w:r>
    </w:p>
    <w:p>
      <w:pPr>
        <w:spacing w:after="0" w:line="158" w:lineRule="exact"/>
        <w:rPr>
          <w:sz w:val="20"/>
          <w:szCs w:val="20"/>
          <w:color w:val="auto"/>
        </w:rPr>
      </w:pPr>
    </w:p>
    <w:p>
      <w:pPr>
        <w:ind w:left="200" w:right="919" w:firstLine="648"/>
        <w:spacing w:after="0" w:line="244" w:lineRule="auto"/>
        <w:rPr>
          <w:sz w:val="20"/>
          <w:szCs w:val="20"/>
          <w:color w:val="auto"/>
        </w:rPr>
      </w:pPr>
      <w:r>
        <w:rPr>
          <w:rFonts w:ascii="Times New Roman" w:cs="Times New Roman" w:eastAsia="Times New Roman" w:hAnsi="Times New Roman"/>
          <w:sz w:val="22"/>
          <w:szCs w:val="22"/>
          <w:color w:val="auto"/>
        </w:rPr>
        <w:t>A copy of this report is publicly available at www.valmont.com under "Investors — Financials — SEC Filings." Valmont's Conflict Minerals Policy is publicly available at www.valmont.com under "Investors — Governance — Documents &amp; Charters.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Item 1.02 </w:t>
      </w:r>
      <w:r>
        <w:rPr>
          <w:rFonts w:ascii="Times New Roman" w:cs="Times New Roman" w:eastAsia="Times New Roman" w:hAnsi="Times New Roman"/>
          <w:sz w:val="22"/>
          <w:szCs w:val="22"/>
          <w:u w:val="single" w:color="auto"/>
          <w:color w:val="auto"/>
        </w:rPr>
        <w:t>Exhibit</w:t>
      </w:r>
    </w:p>
    <w:p>
      <w:pPr>
        <w:spacing w:after="0" w:line="20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Conflict Minerals Report required by Item 1.01 is filed as Exhibit 1.01 to this form.</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 xml:space="preserve">Item 2.01 </w:t>
      </w:r>
      <w:r>
        <w:rPr>
          <w:rFonts w:ascii="Times New Roman" w:cs="Times New Roman" w:eastAsia="Times New Roman" w:hAnsi="Times New Roman"/>
          <w:sz w:val="22"/>
          <w:szCs w:val="22"/>
          <w:u w:val="single" w:color="auto"/>
          <w:color w:val="auto"/>
        </w:rPr>
        <w:t>Exhibits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EE"/>
        </w:rPr>
        <w:t>Exhibit 1.01 – Conflict Minerals Report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782320</wp:posOffset>
            </wp:positionV>
            <wp:extent cx="545211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t>SIGNATURES</w:t>
      </w:r>
    </w:p>
    <w:p>
      <w:pPr>
        <w:spacing w:after="0" w:line="207" w:lineRule="exact"/>
        <w:rPr>
          <w:sz w:val="20"/>
          <w:szCs w:val="20"/>
          <w:color w:val="auto"/>
        </w:rPr>
      </w:pPr>
    </w:p>
    <w:p>
      <w:pPr>
        <w:ind w:left="200" w:right="65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Valmont Industries, Inc.</w:t>
            </w:r>
          </w:p>
        </w:tc>
        <w:tc>
          <w:tcPr>
            <w:tcW w:w="3900" w:type="dxa"/>
            <w:vAlign w:val="bottom"/>
          </w:tcPr>
          <w:p>
            <w:pPr>
              <w:spacing w:after="0"/>
              <w:rPr>
                <w:sz w:val="22"/>
                <w:szCs w:val="22"/>
                <w:color w:val="auto"/>
              </w:rPr>
            </w:pPr>
          </w:p>
        </w:tc>
      </w:tr>
      <w:tr>
        <w:trPr>
          <w:trHeight w:val="282"/>
        </w:trPr>
        <w:tc>
          <w:tcPr>
            <w:tcW w:w="47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(Registrant)</w:t>
            </w:r>
          </w:p>
        </w:tc>
        <w:tc>
          <w:tcPr>
            <w:tcW w:w="39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 May 29, 2026</w:t>
            </w:r>
          </w:p>
        </w:tc>
      </w:tr>
      <w:tr>
        <w:trPr>
          <w:trHeight w:val="474"/>
        </w:trPr>
        <w:tc>
          <w:tcPr>
            <w:tcW w:w="4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/s/ William E. Johnson</w:t>
            </w:r>
          </w:p>
        </w:tc>
        <w:tc>
          <w:tcPr>
            <w:tcW w:w="3900" w:type="dxa"/>
            <w:vAlign w:val="bottom"/>
          </w:tcPr>
          <w:p>
            <w:pPr>
              <w:spacing w:after="0"/>
              <w:rPr>
                <w:sz w:val="24"/>
                <w:szCs w:val="24"/>
                <w:color w:val="auto"/>
              </w:rPr>
            </w:pPr>
          </w:p>
        </w:tc>
      </w:tr>
      <w:tr>
        <w:trPr>
          <w:trHeight w:val="209"/>
        </w:trPr>
        <w:tc>
          <w:tcPr>
            <w:tcW w:w="4780" w:type="dxa"/>
            <w:vAlign w:val="bottom"/>
            <w:gridSpan w:val="2"/>
          </w:tcPr>
          <w:p>
            <w:pPr>
              <w:ind w:left="80"/>
              <w:spacing w:after="0" w:line="209" w:lineRule="exact"/>
              <w:rPr>
                <w:sz w:val="20"/>
                <w:szCs w:val="20"/>
                <w:color w:val="auto"/>
              </w:rPr>
            </w:pPr>
            <w:r>
              <w:rPr>
                <w:rFonts w:ascii="Times New Roman" w:cs="Times New Roman" w:eastAsia="Times New Roman" w:hAnsi="Times New Roman"/>
                <w:sz w:val="22"/>
                <w:szCs w:val="22"/>
                <w:color w:val="auto"/>
              </w:rPr>
              <w:t>By: William E. Johnson</w:t>
            </w:r>
          </w:p>
        </w:tc>
        <w:tc>
          <w:tcPr>
            <w:tcW w:w="3900" w:type="dxa"/>
            <w:vAlign w:val="bottom"/>
          </w:tcPr>
          <w:p>
            <w:pPr>
              <w:spacing w:after="0"/>
              <w:rPr>
                <w:sz w:val="18"/>
                <w:szCs w:val="18"/>
                <w:color w:val="auto"/>
              </w:rPr>
            </w:pPr>
          </w:p>
        </w:tc>
      </w:tr>
      <w:tr>
        <w:trPr>
          <w:trHeight w:val="282"/>
        </w:trPr>
        <w:tc>
          <w:tcPr>
            <w:tcW w:w="10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Chief Accounting Officer</w:t>
            </w:r>
          </w:p>
        </w:tc>
        <w:tc>
          <w:tcPr>
            <w:tcW w:w="3900" w:type="dxa"/>
            <w:vAlign w:val="bottom"/>
          </w:tcPr>
          <w:p>
            <w:pPr>
              <w:spacing w:after="0"/>
              <w:rPr>
                <w:sz w:val="24"/>
                <w:szCs w:val="24"/>
                <w:color w:val="auto"/>
              </w:rPr>
            </w:pPr>
          </w:p>
        </w:tc>
      </w:tr>
      <w:tr>
        <w:trPr>
          <w:trHeight w:val="980"/>
        </w:trPr>
        <w:tc>
          <w:tcPr>
            <w:tcW w:w="10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2"/>
          <w:szCs w:val="22"/>
          <w:color w:val="auto"/>
        </w:rPr>
        <w:t>Exhibit 1.01</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Valmont Industries, Inc.</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Calendar Year Ended December 31, 2025</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102" w:lineRule="exact"/>
        <w:rPr>
          <w:sz w:val="20"/>
          <w:szCs w:val="20"/>
          <w:color w:val="auto"/>
        </w:rPr>
      </w:pPr>
    </w:p>
    <w:p>
      <w:pPr>
        <w:ind w:left="200" w:right="299" w:firstLine="648"/>
        <w:spacing w:after="0" w:line="234" w:lineRule="auto"/>
        <w:rPr>
          <w:sz w:val="20"/>
          <w:szCs w:val="20"/>
          <w:color w:val="auto"/>
        </w:rPr>
      </w:pPr>
      <w:r>
        <w:rPr>
          <w:rFonts w:ascii="Times New Roman" w:cs="Times New Roman" w:eastAsia="Times New Roman" w:hAnsi="Times New Roman"/>
          <w:sz w:val="22"/>
          <w:szCs w:val="22"/>
          <w:color w:val="auto"/>
        </w:rPr>
        <w:t>Valmont Industries, Inc., along with its subsidiaries is a diversified manufacturer of products and services for infrastructure and agriculture markets. Valmont’s Infrastructure segment consists of the manufacture and distribution of products and solutions to serve the infrastructure markets of utility, solar, lighting and transportation, and telecommunications, and solar, along with coatings services to protect metal products. Valmont’s Agriculture segment consists of the manufacture of center pivot and linear irrigation equipment components for agricultural markets, including aftermarket parts and tubular products, and advanced technology solutions for precision agriculture. This Report has been prepared pursuant to Rule 13p-1 under the Securities Exchange Act of 1934, as amended, and statements issued by the Securities and Exchange Commission for the reporting period from January 1 to December 31, 2025.</w:t>
      </w:r>
    </w:p>
    <w:p>
      <w:pPr>
        <w:spacing w:after="0" w:line="179" w:lineRule="exact"/>
        <w:rPr>
          <w:sz w:val="20"/>
          <w:szCs w:val="20"/>
          <w:color w:val="auto"/>
        </w:rPr>
      </w:pPr>
    </w:p>
    <w:p>
      <w:pPr>
        <w:ind w:left="200" w:right="219" w:firstLine="648"/>
        <w:spacing w:after="0" w:line="244" w:lineRule="auto"/>
        <w:rPr>
          <w:sz w:val="20"/>
          <w:szCs w:val="20"/>
          <w:color w:val="auto"/>
        </w:rPr>
      </w:pPr>
      <w:r>
        <w:rPr>
          <w:rFonts w:ascii="Times New Roman" w:cs="Times New Roman" w:eastAsia="Times New Roman" w:hAnsi="Times New Roman"/>
          <w:sz w:val="22"/>
          <w:szCs w:val="22"/>
          <w:color w:val="auto"/>
        </w:rPr>
        <w:t>This Report relates to the process undertaken for Valmont products that were manufactured, or contracted to be manufactured, during calendar year 2025 and that may contain gold, tantalum, tin and tungsten.</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Valmont Policy</w:t>
      </w:r>
    </w:p>
    <w:p>
      <w:pPr>
        <w:spacing w:after="0" w:line="210" w:lineRule="exact"/>
        <w:rPr>
          <w:sz w:val="20"/>
          <w:szCs w:val="20"/>
          <w:color w:val="auto"/>
        </w:rPr>
      </w:pPr>
    </w:p>
    <w:p>
      <w:pPr>
        <w:jc w:val="both"/>
        <w:ind w:left="200" w:right="359" w:firstLine="648"/>
        <w:spacing w:after="0" w:line="249" w:lineRule="auto"/>
        <w:rPr>
          <w:sz w:val="20"/>
          <w:szCs w:val="20"/>
          <w:color w:val="auto"/>
        </w:rPr>
      </w:pPr>
      <w:r>
        <w:rPr>
          <w:rFonts w:ascii="Times New Roman" w:cs="Times New Roman" w:eastAsia="Times New Roman" w:hAnsi="Times New Roman"/>
          <w:sz w:val="21"/>
          <w:szCs w:val="21"/>
          <w:color w:val="auto"/>
        </w:rPr>
        <w:t>Valmont supports the objective of preventing armed groups in the Democratic Republic of the Congo (DRC) or adjoining countries from benefitting from sourcing of conflict minerals from that region. Conflict minerals include gold, tin, tantalum, and tungsten (collectively, the “3TG”).</w:t>
      </w:r>
    </w:p>
    <w:p>
      <w:pPr>
        <w:spacing w:after="0" w:line="1" w:lineRule="exact"/>
        <w:rPr>
          <w:sz w:val="20"/>
          <w:szCs w:val="20"/>
          <w:color w:val="auto"/>
        </w:rPr>
      </w:pPr>
    </w:p>
    <w:p>
      <w:pPr>
        <w:ind w:left="200" w:right="239"/>
        <w:spacing w:after="0" w:line="234" w:lineRule="auto"/>
        <w:rPr>
          <w:sz w:val="20"/>
          <w:szCs w:val="20"/>
          <w:color w:val="auto"/>
        </w:rPr>
      </w:pPr>
      <w:r>
        <w:rPr>
          <w:rFonts w:ascii="Times New Roman" w:cs="Times New Roman" w:eastAsia="Times New Roman" w:hAnsi="Times New Roman"/>
          <w:sz w:val="22"/>
          <w:szCs w:val="22"/>
          <w:color w:val="auto"/>
        </w:rPr>
        <w:t>The Dodd-Frank Act and related SEC rules require public companies to report to the SEC the presence of conflict minerals originating in the DRC or adjoining countries in the products they manufacture or contract to manufacture if the conflict minerals are necessary to the functionality or the production of a product.</w:t>
      </w:r>
    </w:p>
    <w:p>
      <w:pPr>
        <w:spacing w:after="0" w:line="177" w:lineRule="exact"/>
        <w:rPr>
          <w:sz w:val="20"/>
          <w:szCs w:val="20"/>
          <w:color w:val="auto"/>
        </w:rPr>
      </w:pPr>
    </w:p>
    <w:p>
      <w:pPr>
        <w:ind w:left="200" w:right="399" w:firstLine="648"/>
        <w:spacing w:after="0" w:line="251" w:lineRule="auto"/>
        <w:rPr>
          <w:sz w:val="20"/>
          <w:szCs w:val="20"/>
          <w:color w:val="auto"/>
        </w:rPr>
      </w:pPr>
      <w:r>
        <w:rPr>
          <w:rFonts w:ascii="Times New Roman" w:cs="Times New Roman" w:eastAsia="Times New Roman" w:hAnsi="Times New Roman"/>
          <w:sz w:val="21"/>
          <w:szCs w:val="21"/>
          <w:color w:val="auto"/>
        </w:rPr>
        <w:t>Valmont does not source conflict minerals directly from smelters or mines. Valmont evaluates its product line to determine which components of its products supplied by third parties may contain any of the 3TG necessary to product functionality or production. When Valmont determines a third party component contains any of these minerals, it surveys the suppliers of the product component on their sourcing, using an industry-approved survey for conflict minerals.</w:t>
      </w:r>
    </w:p>
    <w:p>
      <w:pPr>
        <w:spacing w:after="0" w:line="168" w:lineRule="exact"/>
        <w:rPr>
          <w:sz w:val="20"/>
          <w:szCs w:val="20"/>
          <w:color w:val="auto"/>
        </w:rPr>
      </w:pPr>
    </w:p>
    <w:p>
      <w:pPr>
        <w:jc w:val="both"/>
        <w:ind w:left="200" w:right="1019" w:firstLine="648"/>
        <w:spacing w:after="0" w:line="244" w:lineRule="auto"/>
        <w:rPr>
          <w:sz w:val="20"/>
          <w:szCs w:val="20"/>
          <w:color w:val="auto"/>
        </w:rPr>
      </w:pPr>
      <w:r>
        <w:rPr>
          <w:rFonts w:ascii="Times New Roman" w:cs="Times New Roman" w:eastAsia="Times New Roman" w:hAnsi="Times New Roman"/>
          <w:sz w:val="22"/>
          <w:szCs w:val="22"/>
          <w:color w:val="auto"/>
        </w:rPr>
        <w:t>Valmont is committed to responsible conflict-free sourcing and to working with its suppliers to ensure they share this philosophy and are engaged in responsible conflict-free sourcing.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DUE DILIGENCE</w:t>
      </w: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Design of Due Diligence</w:t>
      </w:r>
    </w:p>
    <w:p>
      <w:pPr>
        <w:spacing w:after="0" w:line="102" w:lineRule="exact"/>
        <w:rPr>
          <w:sz w:val="20"/>
          <w:szCs w:val="20"/>
          <w:color w:val="auto"/>
        </w:rPr>
      </w:pPr>
    </w:p>
    <w:p>
      <w:pPr>
        <w:ind w:left="200" w:right="519" w:firstLine="648"/>
        <w:spacing w:after="0" w:line="239" w:lineRule="auto"/>
        <w:rPr>
          <w:sz w:val="20"/>
          <w:szCs w:val="20"/>
          <w:color w:val="auto"/>
        </w:rPr>
      </w:pPr>
      <w:r>
        <w:rPr>
          <w:rFonts w:ascii="Times New Roman" w:cs="Times New Roman" w:eastAsia="Times New Roman" w:hAnsi="Times New Roman"/>
          <w:sz w:val="22"/>
          <w:szCs w:val="22"/>
          <w:color w:val="auto"/>
        </w:rPr>
        <w:t>Valmont designed its due diligence measures in all material respects to conform to the Organization for Economic Co-operation and Development Due Diligence Guidance for Responsible Supply Chains of Minerals from Conflict-Affected and High-Risk Areas, including the related supplements on tantalum, tin, tungsten and gold.</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Due Diligence Performed</w:t>
      </w:r>
    </w:p>
    <w:p>
      <w:pPr>
        <w:spacing w:after="0" w:line="102" w:lineRule="exact"/>
        <w:rPr>
          <w:sz w:val="20"/>
          <w:szCs w:val="20"/>
          <w:color w:val="auto"/>
        </w:rPr>
      </w:pPr>
    </w:p>
    <w:p>
      <w:pPr>
        <w:ind w:left="200" w:right="359" w:firstLine="648"/>
        <w:spacing w:after="0" w:line="238" w:lineRule="auto"/>
        <w:rPr>
          <w:sz w:val="20"/>
          <w:szCs w:val="20"/>
          <w:color w:val="auto"/>
        </w:rPr>
      </w:pPr>
      <w:r>
        <w:rPr>
          <w:rFonts w:ascii="Times New Roman" w:cs="Times New Roman" w:eastAsia="Times New Roman" w:hAnsi="Times New Roman"/>
          <w:sz w:val="22"/>
          <w:szCs w:val="22"/>
          <w:color w:val="auto"/>
        </w:rPr>
        <w:t>In connection with identifying and assessing 3TG in the supply chain, Valmont engages in meetings with its internal management of group presidents and selected engineers to determine if any 3TGs were necessary to the functionality of Valmont products or production. This evaluation included an analysis of components purchased by Valmont necessary for the production of its products. The evaluation was designed to ascertain:</w:t>
      </w:r>
    </w:p>
    <w:p>
      <w:pPr>
        <w:spacing w:after="0" w:line="177" w:lineRule="exact"/>
        <w:rPr>
          <w:sz w:val="20"/>
          <w:szCs w:val="20"/>
          <w:color w:val="auto"/>
        </w:rPr>
      </w:pPr>
    </w:p>
    <w:p>
      <w:pPr>
        <w:ind w:left="860" w:right="239" w:hanging="327"/>
        <w:spacing w:after="0" w:line="241" w:lineRule="auto"/>
        <w:tabs>
          <w:tab w:leader="none" w:pos="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3TG were contained in any products produced at Valmont manufacturing facilities or used in the production process;</w:t>
      </w:r>
    </w:p>
    <w:p>
      <w:pPr>
        <w:spacing w:after="0" w:line="1" w:lineRule="exact"/>
        <w:rPr>
          <w:rFonts w:ascii="Times New Roman" w:cs="Times New Roman" w:eastAsia="Times New Roman" w:hAnsi="Times New Roman"/>
          <w:sz w:val="22"/>
          <w:szCs w:val="22"/>
          <w:color w:val="auto"/>
        </w:rPr>
      </w:pPr>
    </w:p>
    <w:p>
      <w:pPr>
        <w:jc w:val="both"/>
        <w:ind w:left="860" w:right="239" w:hanging="327"/>
        <w:spacing w:after="0" w:line="230" w:lineRule="auto"/>
        <w:tabs>
          <w:tab w:leader="none" w:pos="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3TG were necessary to the functionality or necessary to the production of a product manufactured or contracted to be manufactured at Valmont manufacturing facilities; and</w:t>
      </w:r>
    </w:p>
    <w:p>
      <w:pPr>
        <w:spacing w:after="0" w:line="1"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of the 3TG were contained in any products, used in the production process, or necessary to the functionality or production then whether any of the used 3TG were sourced from or originated from the DRC or an adjoining country.</w:t>
      </w:r>
    </w:p>
    <w:p>
      <w:pPr>
        <w:spacing w:after="0" w:line="2" w:lineRule="exact"/>
        <w:rPr>
          <w:sz w:val="20"/>
          <w:szCs w:val="20"/>
          <w:color w:val="auto"/>
        </w:rPr>
      </w:pPr>
    </w:p>
    <w:p>
      <w:pPr>
        <w:ind w:left="200" w:right="379" w:firstLine="648"/>
        <w:spacing w:after="0" w:line="235" w:lineRule="auto"/>
        <w:rPr>
          <w:sz w:val="20"/>
          <w:szCs w:val="20"/>
          <w:color w:val="auto"/>
        </w:rPr>
      </w:pPr>
      <w:r>
        <w:rPr>
          <w:rFonts w:ascii="Times New Roman" w:cs="Times New Roman" w:eastAsia="Times New Roman" w:hAnsi="Times New Roman"/>
          <w:sz w:val="22"/>
          <w:szCs w:val="22"/>
          <w:color w:val="auto"/>
        </w:rPr>
        <w:t>Based on its evaluation, Valmont determined that gold, tantalum and tin may be present in certain circuit boards, and related connectors and capacitors, manufactured by its suppliers and used in Valmont’s irrigation product line.</w:t>
      </w:r>
    </w:p>
    <w:p>
      <w:pPr>
        <w:spacing w:after="0" w:line="178" w:lineRule="exact"/>
        <w:rPr>
          <w:sz w:val="20"/>
          <w:szCs w:val="20"/>
          <w:color w:val="auto"/>
        </w:rPr>
      </w:pPr>
    </w:p>
    <w:p>
      <w:pPr>
        <w:ind w:left="200" w:right="479" w:firstLine="648"/>
        <w:spacing w:after="0" w:line="258" w:lineRule="auto"/>
        <w:rPr>
          <w:sz w:val="20"/>
          <w:szCs w:val="20"/>
          <w:color w:val="auto"/>
        </w:rPr>
      </w:pPr>
      <w:r>
        <w:rPr>
          <w:rFonts w:ascii="Times New Roman" w:cs="Times New Roman" w:eastAsia="Times New Roman" w:hAnsi="Times New Roman"/>
          <w:sz w:val="22"/>
          <w:szCs w:val="22"/>
          <w:color w:val="auto"/>
        </w:rPr>
        <w:t>The suppliers from whom Valmont purchased in excess of a minimum value threshold of products were asked to undertake the following actions:</w:t>
      </w:r>
    </w:p>
    <w:p>
      <w:pPr>
        <w:spacing w:after="0" w:line="158" w:lineRule="exact"/>
        <w:rPr>
          <w:sz w:val="20"/>
          <w:szCs w:val="20"/>
          <w:color w:val="auto"/>
        </w:rPr>
      </w:pPr>
    </w:p>
    <w:p>
      <w:pPr>
        <w:ind w:left="860" w:right="219" w:hanging="327"/>
        <w:spacing w:after="0" w:line="241"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if any of their products / components contain tin, tungsten, tantalum, and / or gold.</w:t>
      </w:r>
    </w:p>
    <w:p>
      <w:pPr>
        <w:spacing w:after="0" w:line="1" w:lineRule="exact"/>
        <w:rPr>
          <w:rFonts w:ascii="Times New Roman" w:cs="Times New Roman" w:eastAsia="Times New Roman" w:hAnsi="Times New Roman"/>
          <w:sz w:val="22"/>
          <w:szCs w:val="22"/>
          <w:color w:val="auto"/>
        </w:rPr>
      </w:pPr>
    </w:p>
    <w:p>
      <w:pPr>
        <w:jc w:val="both"/>
        <w:ind w:left="860" w:right="219" w:hanging="327"/>
        <w:spacing w:after="0" w:line="230"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all the smelters in their supply chain that supply tin, tantalum, tungsten, and / or gold (and if the supplier did not source directly from smelters, then pass the request up its supply chain).</w:t>
      </w:r>
    </w:p>
    <w:p>
      <w:pPr>
        <w:spacing w:after="0" w:line="1" w:lineRule="exact"/>
        <w:rPr>
          <w:rFonts w:ascii="Times New Roman" w:cs="Times New Roman" w:eastAsia="Times New Roman" w:hAnsi="Times New Roman"/>
          <w:sz w:val="22"/>
          <w:szCs w:val="22"/>
          <w:color w:val="auto"/>
        </w:rPr>
      </w:pPr>
    </w:p>
    <w:p>
      <w:pPr>
        <w:ind w:left="860" w:hanging="327"/>
        <w:spacing w:after="0" w:line="230"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return the reporting template.</w:t>
      </w: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RMI (Responsible Minerals Initiative) Conflict Minerals Reporting Template used by</w:t>
      </w:r>
    </w:p>
    <w:p>
      <w:pPr>
        <w:spacing w:after="0" w:line="2" w:lineRule="exact"/>
        <w:rPr>
          <w:sz w:val="20"/>
          <w:szCs w:val="20"/>
          <w:color w:val="auto"/>
        </w:rPr>
      </w:pPr>
    </w:p>
    <w:p>
      <w:pPr>
        <w:ind w:left="200" w:right="399"/>
        <w:spacing w:after="0" w:line="234" w:lineRule="auto"/>
        <w:rPr>
          <w:sz w:val="20"/>
          <w:szCs w:val="20"/>
          <w:color w:val="auto"/>
        </w:rPr>
      </w:pPr>
      <w:r>
        <w:rPr>
          <w:rFonts w:ascii="Times New Roman" w:cs="Times New Roman" w:eastAsia="Times New Roman" w:hAnsi="Times New Roman"/>
          <w:sz w:val="22"/>
          <w:szCs w:val="22"/>
          <w:color w:val="auto"/>
        </w:rPr>
        <w:t>Valmont is an industry-standard survey template for conflict minerals. Valmont advised the suppliers that ultimately Valmont intended to assure itself that products and components in its supply chain do not contain metals that have contributed to the conflict in the DRC and adjoining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764540</wp:posOffset>
            </wp:positionV>
            <wp:extent cx="545211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22"/>
          <w:szCs w:val="22"/>
          <w:b w:val="1"/>
          <w:bCs w:val="1"/>
          <w:color w:val="auto"/>
        </w:rPr>
        <w:t>Due Diligence Responses</w:t>
      </w:r>
    </w:p>
    <w:p>
      <w:pPr>
        <w:spacing w:after="0" w:line="103" w:lineRule="exact"/>
        <w:rPr>
          <w:sz w:val="20"/>
          <w:szCs w:val="20"/>
          <w:color w:val="auto"/>
        </w:rPr>
      </w:pPr>
    </w:p>
    <w:p>
      <w:pPr>
        <w:ind w:left="200" w:right="299" w:firstLine="648"/>
        <w:spacing w:after="0" w:line="248" w:lineRule="auto"/>
        <w:rPr>
          <w:sz w:val="20"/>
          <w:szCs w:val="20"/>
          <w:color w:val="auto"/>
        </w:rPr>
      </w:pPr>
      <w:r>
        <w:rPr>
          <w:rFonts w:ascii="Times New Roman" w:cs="Times New Roman" w:eastAsia="Times New Roman" w:hAnsi="Times New Roman"/>
          <w:sz w:val="21"/>
          <w:szCs w:val="21"/>
          <w:color w:val="auto"/>
        </w:rPr>
        <w:t>Responses were received from the suppliers of the electrical components purchased by Valmont’s irrigation division in 2025 whose sales to Valmont exceeded $300,000. The majority of those suppliers responded, and indicated that one or more of 3TG is necessary to the functionality of the electrical components they supply to us. Valmont’s revenues in 2025 were in excess of $4.1 billion and its purchases from the relevant suppliers for all products, including products without 3TG, were approximately $119.1 million. Some suppliers did not respond to repeat inquiries by Valmont. Valmont is unable to determine conclusively the countries of origin of the 3TG.</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Steps To Be Taken To Mitigate Risk</w:t>
      </w:r>
    </w:p>
    <w:p>
      <w:pPr>
        <w:spacing w:after="0" w:line="102" w:lineRule="exact"/>
        <w:rPr>
          <w:sz w:val="20"/>
          <w:szCs w:val="20"/>
          <w:color w:val="auto"/>
        </w:rPr>
      </w:pPr>
    </w:p>
    <w:p>
      <w:pPr>
        <w:ind w:left="200" w:right="239" w:firstLine="648"/>
        <w:spacing w:after="0" w:line="244" w:lineRule="auto"/>
        <w:rPr>
          <w:sz w:val="20"/>
          <w:szCs w:val="20"/>
          <w:color w:val="auto"/>
        </w:rPr>
      </w:pPr>
      <w:r>
        <w:rPr>
          <w:rFonts w:ascii="Times New Roman" w:cs="Times New Roman" w:eastAsia="Times New Roman" w:hAnsi="Times New Roman"/>
          <w:sz w:val="22"/>
          <w:szCs w:val="22"/>
          <w:color w:val="auto"/>
        </w:rPr>
        <w:t>Valmont continues its due diligence process, and in accordance with its policy, is working to improve communications with its suppliers to mitigate the risk that the necessary 3TG contained in its products could benefit armed groups in the DRC or adjoining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607695</wp:posOffset>
            </wp:positionV>
            <wp:extent cx="5452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2026-05-29T06:07:31Z</dcterms:created>
  <dcterms:modified xsi:type="dcterms:W3CDTF">2026-05-29T06:07:31Z</dcterms:modified>
</cp:coreProperties>
</file>