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711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7118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92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58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BAY MOGENS C</w:t>
              </w:r>
            </w:hyperlink>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VALMONT INDUSTRIES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VMI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580" w:type="dxa"/>
            <w:vAlign w:val="bottom"/>
            <w:tcBorders>
              <w:bottom w:val="single" w:sz="8" w:color="0000EE"/>
            </w:tcBorders>
            <w:gridSpan w:val="2"/>
            <w:vMerge w:val="continue"/>
          </w:tcPr>
          <w:p>
            <w:pPr>
              <w:spacing w:after="0"/>
              <w:rPr>
                <w:sz w:val="5"/>
                <w:szCs w:val="5"/>
                <w:color w:val="auto"/>
              </w:rPr>
            </w:pPr>
          </w:p>
        </w:tc>
        <w:tc>
          <w:tcPr>
            <w:tcW w:w="20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20" w:type="dxa"/>
            <w:vAlign w:val="bottom"/>
            <w:tcBorders>
              <w:top w:val="single" w:sz="8" w:color="0000EE"/>
            </w:tcBorders>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20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2060" w:type="dxa"/>
            <w:vAlign w:val="bottom"/>
            <w:tcBorders>
              <w:top w:val="single" w:sz="8" w:color="EEEEEE"/>
            </w:tcBorders>
            <w:vMerge w:val="restart"/>
          </w:tcPr>
          <w:p>
            <w:pPr>
              <w:ind w:left="86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060" w:type="dxa"/>
            <w:vAlign w:val="bottom"/>
            <w:vMerge w:val="continue"/>
          </w:tcPr>
          <w:p>
            <w:pPr>
              <w:spacing w:after="0"/>
              <w:rPr>
                <w:sz w:val="19"/>
                <w:szCs w:val="19"/>
                <w:color w:val="auto"/>
              </w:rPr>
            </w:pPr>
          </w:p>
        </w:tc>
        <w:tc>
          <w:tcPr>
            <w:tcW w:w="29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04/24/2026</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15000 VALMONT PLAZA</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265"/>
          </w:cols>
          <w:pgMar w:left="460" w:top="219" w:right="439" w:bottom="926"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OMAHA</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NE</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68154</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080"/>
          </w:cols>
          <w:pgMar w:left="460" w:top="219" w:right="439" w:bottom="926"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ind w:right="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jc w:val="center"/>
              <w:ind w:left="52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2"/>
              <w:spacing w:after="0"/>
              <w:rPr>
                <w:sz w:val="20"/>
                <w:szCs w:val="20"/>
                <w:color w:val="auto"/>
              </w:rPr>
            </w:pPr>
            <w:r>
              <w:rPr>
                <w:rFonts w:ascii="Times New Roman" w:cs="Times New Roman" w:eastAsia="Times New Roman" w:hAnsi="Times New Roman"/>
                <w:sz w:val="17"/>
                <w:szCs w:val="17"/>
                <w:color w:val="0000FF"/>
              </w:rPr>
              <w:t>04/24/2026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rPr>
              <w:t>5,000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494.07</w:t>
            </w:r>
            <w:r>
              <w:rPr>
                <w:rFonts w:ascii="Times New Roman" w:cs="Times New Roman" w:eastAsia="Times New Roman" w:hAnsi="Times New Roman"/>
                <w:sz w:val="22"/>
                <w:szCs w:val="22"/>
                <w:color w:val="008000"/>
                <w:w w:val="95"/>
                <w:vertAlign w:val="superscript"/>
              </w:rPr>
              <w:t>(1)</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124,809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2"/>
              <w:spacing w:after="0"/>
              <w:rPr>
                <w:sz w:val="20"/>
                <w:szCs w:val="20"/>
                <w:color w:val="auto"/>
              </w:rPr>
            </w:pPr>
            <w:r>
              <w:rPr>
                <w:rFonts w:ascii="Times New Roman" w:cs="Times New Roman" w:eastAsia="Times New Roman" w:hAnsi="Times New Roman"/>
                <w:sz w:val="17"/>
                <w:szCs w:val="17"/>
                <w:color w:val="0000FF"/>
              </w:rPr>
              <w:t>04/24/2026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rPr>
              <w:t>7,550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491.48</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117,259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jc w:val="center"/>
              <w:ind w:left="522"/>
              <w:spacing w:after="0"/>
              <w:rPr>
                <w:sz w:val="20"/>
                <w:szCs w:val="20"/>
                <w:color w:val="auto"/>
              </w:rPr>
            </w:pPr>
            <w:r>
              <w:rPr>
                <w:rFonts w:ascii="Times New Roman" w:cs="Times New Roman" w:eastAsia="Times New Roman" w:hAnsi="Times New Roman"/>
                <w:sz w:val="17"/>
                <w:szCs w:val="17"/>
                <w:color w:val="0000FF"/>
              </w:rPr>
              <w:t>04/24/2026</w:t>
            </w:r>
          </w:p>
        </w:tc>
        <w:tc>
          <w:tcPr>
            <w:tcW w:w="11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ind w:left="2"/>
              <w:spacing w:after="0"/>
              <w:rPr>
                <w:sz w:val="20"/>
                <w:szCs w:val="20"/>
                <w:color w:val="auto"/>
              </w:rPr>
            </w:pPr>
            <w:r>
              <w:rPr>
                <w:rFonts w:ascii="Times New Roman" w:cs="Times New Roman" w:eastAsia="Times New Roman" w:hAnsi="Times New Roman"/>
                <w:sz w:val="17"/>
                <w:szCs w:val="17"/>
                <w:color w:val="0000FF"/>
              </w:rPr>
              <w:t>2,000</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490</w:t>
            </w:r>
          </w:p>
        </w:tc>
        <w:tc>
          <w:tcPr>
            <w:tcW w:w="11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115,259</w:t>
            </w:r>
          </w:p>
        </w:tc>
        <w:tc>
          <w:tcPr>
            <w:tcW w:w="9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jc w:val="center"/>
              <w:ind w:left="522"/>
              <w:spacing w:after="0"/>
              <w:rPr>
                <w:sz w:val="20"/>
                <w:szCs w:val="20"/>
                <w:color w:val="auto"/>
              </w:rPr>
            </w:pPr>
            <w:r>
              <w:rPr>
                <w:rFonts w:ascii="Times New Roman" w:cs="Times New Roman" w:eastAsia="Times New Roman" w:hAnsi="Times New Roman"/>
                <w:sz w:val="17"/>
                <w:szCs w:val="17"/>
                <w:color w:val="0000FF"/>
              </w:rPr>
              <w:t>04/24/2026</w:t>
            </w:r>
          </w:p>
        </w:tc>
        <w:tc>
          <w:tcPr>
            <w:tcW w:w="11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ind w:left="2"/>
              <w:spacing w:after="0"/>
              <w:rPr>
                <w:sz w:val="20"/>
                <w:szCs w:val="20"/>
                <w:color w:val="auto"/>
              </w:rPr>
            </w:pPr>
            <w:r>
              <w:rPr>
                <w:rFonts w:ascii="Times New Roman" w:cs="Times New Roman" w:eastAsia="Times New Roman" w:hAnsi="Times New Roman"/>
                <w:sz w:val="17"/>
                <w:szCs w:val="17"/>
                <w:color w:val="0000FF"/>
              </w:rPr>
              <w:t>1,500</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492.45</w:t>
            </w:r>
          </w:p>
        </w:tc>
        <w:tc>
          <w:tcPr>
            <w:tcW w:w="11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113,759</w:t>
            </w:r>
          </w:p>
        </w:tc>
        <w:tc>
          <w:tcPr>
            <w:tcW w:w="9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jc w:val="center"/>
              <w:ind w:left="522"/>
              <w:spacing w:after="0"/>
              <w:rPr>
                <w:sz w:val="20"/>
                <w:szCs w:val="20"/>
                <w:color w:val="auto"/>
              </w:rPr>
            </w:pPr>
            <w:r>
              <w:rPr>
                <w:rFonts w:ascii="Times New Roman" w:cs="Times New Roman" w:eastAsia="Times New Roman" w:hAnsi="Times New Roman"/>
                <w:sz w:val="17"/>
                <w:szCs w:val="17"/>
                <w:color w:val="0000FF"/>
              </w:rPr>
              <w:t>04/24/2026</w:t>
            </w:r>
          </w:p>
        </w:tc>
        <w:tc>
          <w:tcPr>
            <w:tcW w:w="11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ind w:left="2"/>
              <w:spacing w:after="0"/>
              <w:rPr>
                <w:sz w:val="20"/>
                <w:szCs w:val="20"/>
                <w:color w:val="auto"/>
              </w:rPr>
            </w:pPr>
            <w:r>
              <w:rPr>
                <w:rFonts w:ascii="Times New Roman" w:cs="Times New Roman" w:eastAsia="Times New Roman" w:hAnsi="Times New Roman"/>
                <w:sz w:val="17"/>
                <w:szCs w:val="17"/>
                <w:color w:val="0000FF"/>
              </w:rPr>
              <w:t>1,450</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493.965</w:t>
            </w:r>
          </w:p>
        </w:tc>
        <w:tc>
          <w:tcPr>
            <w:tcW w:w="11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112,309</w:t>
            </w:r>
          </w:p>
        </w:tc>
        <w:tc>
          <w:tcPr>
            <w:tcW w:w="9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2"/>
              <w:spacing w:after="0"/>
              <w:rPr>
                <w:sz w:val="20"/>
                <w:szCs w:val="20"/>
                <w:color w:val="auto"/>
              </w:rPr>
            </w:pPr>
            <w:r>
              <w:rPr>
                <w:rFonts w:ascii="Times New Roman" w:cs="Times New Roman" w:eastAsia="Times New Roman" w:hAnsi="Times New Roman"/>
                <w:sz w:val="17"/>
                <w:szCs w:val="17"/>
                <w:color w:val="0000FF"/>
              </w:rPr>
              <w:t>04/27/2026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341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line="319" w:lineRule="exact"/>
              <w:rPr>
                <w:sz w:val="20"/>
                <w:szCs w:val="20"/>
                <w:color w:val="auto"/>
              </w:rPr>
            </w:pPr>
            <w:r>
              <w:rPr>
                <w:rFonts w:ascii="Arial" w:cs="Arial" w:eastAsia="Arial" w:hAnsi="Arial"/>
                <w:sz w:val="34"/>
                <w:szCs w:val="34"/>
                <w:color w:val="000000"/>
                <w:w w:val="81"/>
                <w:vertAlign w:val="subscript"/>
              </w:rPr>
              <w:t>$</w:t>
            </w:r>
            <w:r>
              <w:rPr>
                <w:rFonts w:ascii="Times New Roman" w:cs="Times New Roman" w:eastAsia="Times New Roman" w:hAnsi="Times New Roman"/>
                <w:sz w:val="34"/>
                <w:szCs w:val="34"/>
                <w:color w:val="0000FF"/>
                <w:w w:val="81"/>
                <w:vertAlign w:val="subscript"/>
              </w:rPr>
              <w:t>0</w:t>
            </w:r>
            <w:r>
              <w:rPr>
                <w:rFonts w:ascii="Times New Roman" w:cs="Times New Roman" w:eastAsia="Times New Roman" w:hAnsi="Times New Roman"/>
                <w:sz w:val="11"/>
                <w:szCs w:val="11"/>
                <w:color w:val="008000"/>
                <w:w w:val="81"/>
              </w:rPr>
              <w:t>(3)</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112,650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$494.00 to $494.24, inclusive. The reporting person undertakes to provide to Valmont Industries, Inc., any security holder of Valmont Industries, Inc., or the staff of the Securities and Exchange Commission, upon request, full information regarding the number of shares sold at each separate price within the ranges set forth in footnotes (1) and (2)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$491.01 to $491.685,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 award which vests on the anniversary of the grant date, unless deferred by the reporting person, and on vesting settled in an equal number of shares of common stock.</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POA attached.</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William Eric Johnson for</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04/28/2026</w:t>
            </w:r>
          </w:p>
        </w:tc>
        <w:tc>
          <w:tcPr>
            <w:tcW w:w="0" w:type="dxa"/>
            <w:vAlign w:val="bottom"/>
          </w:tcPr>
          <w:p>
            <w:pPr>
              <w:spacing w:after="0"/>
              <w:rPr>
                <w:sz w:val="1"/>
                <w:szCs w:val="1"/>
                <w:color w:val="auto"/>
              </w:rPr>
            </w:pPr>
          </w:p>
        </w:tc>
      </w:tr>
      <w:tr>
        <w:trPr>
          <w:trHeight w:val="87"/>
        </w:trPr>
        <w:tc>
          <w:tcPr>
            <w:tcW w:w="11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Mogens C. Bay</w:t>
            </w:r>
          </w:p>
        </w:tc>
        <w:tc>
          <w:tcPr>
            <w:tcW w:w="8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00" w:type="dxa"/>
            <w:vAlign w:val="bottom"/>
            <w:tcBorders>
              <w:top w:val="single" w:sz="8" w:color="auto"/>
              <w:bottom w:val="single" w:sz="8" w:color="auto"/>
            </w:tcBorders>
            <w:vMerge w:val="continue"/>
          </w:tcPr>
          <w:p>
            <w:pPr>
              <w:spacing w:after="0"/>
              <w:rPr>
                <w:sz w:val="7"/>
                <w:szCs w:val="7"/>
                <w:color w:val="auto"/>
              </w:rPr>
            </w:pPr>
          </w:p>
        </w:tc>
        <w:tc>
          <w:tcPr>
            <w:tcW w:w="8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926" w:gutter="0" w:footer="0" w:header="0"/>
          <w:type w:val="continuous"/>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19" w:lineRule="exact"/>
        <w:rPr>
          <w:sz w:val="20"/>
          <w:szCs w:val="20"/>
          <w:color w:val="auto"/>
        </w:rPr>
      </w:pPr>
    </w:p>
    <w:p>
      <w:pPr>
        <w:ind w:right="40" w:hanging="7"/>
        <w:spacing w:after="0" w:line="256" w:lineRule="auto"/>
        <w:rPr>
          <w:sz w:val="20"/>
          <w:szCs w:val="20"/>
          <w:color w:val="auto"/>
        </w:rPr>
      </w:pPr>
      <w:r>
        <w:rPr>
          <w:rFonts w:ascii="Times New Roman" w:cs="Times New Roman" w:eastAsia="Times New Roman" w:hAnsi="Times New Roman"/>
          <w:sz w:val="18"/>
          <w:szCs w:val="18"/>
          <w:color w:val="auto"/>
        </w:rPr>
        <w:t>The undersigned hereby makes, constitutes and appoints John Schwietz and William Eric Johnson, or either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Valmont Industries, Inc. (the “Company”), to:</w:t>
      </w:r>
    </w:p>
    <w:p>
      <w:pPr>
        <w:spacing w:after="0" w:line="183" w:lineRule="exact"/>
        <w:rPr>
          <w:sz w:val="20"/>
          <w:szCs w:val="20"/>
          <w:color w:val="auto"/>
        </w:rPr>
      </w:pPr>
    </w:p>
    <w:p>
      <w:pPr>
        <w:ind w:left="960" w:right="60" w:hanging="181"/>
        <w:spacing w:after="0" w:line="276" w:lineRule="auto"/>
        <w:tabs>
          <w:tab w:leader="none" w:pos="9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 of the Securities Exchange Act of 1934, as amended (the “Exchange Act”), Rule 144 under the Securities Act of 1933 (“Rule 144”), or any rule or regulation of the SEC;</w:t>
      </w:r>
    </w:p>
    <w:p>
      <w:pPr>
        <w:spacing w:after="0" w:line="166" w:lineRule="exact"/>
        <w:rPr>
          <w:rFonts w:ascii="Times New Roman" w:cs="Times New Roman" w:eastAsia="Times New Roman" w:hAnsi="Times New Roman"/>
          <w:sz w:val="17"/>
          <w:szCs w:val="17"/>
          <w:color w:val="auto"/>
        </w:rPr>
      </w:pPr>
    </w:p>
    <w:p>
      <w:pPr>
        <w:ind w:left="960" w:right="100" w:hanging="181"/>
        <w:spacing w:after="0" w:line="27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director or stockholder of the Company, on Forms 3, 4 and 5, Schedule 13D and 13G, or Form 144;</w:t>
      </w:r>
    </w:p>
    <w:p>
      <w:pPr>
        <w:spacing w:after="0" w:line="163" w:lineRule="exact"/>
        <w:rPr>
          <w:rFonts w:ascii="Times New Roman" w:cs="Times New Roman" w:eastAsia="Times New Roman" w:hAnsi="Times New Roman"/>
          <w:sz w:val="18"/>
          <w:szCs w:val="18"/>
          <w:color w:val="auto"/>
        </w:rPr>
      </w:pPr>
    </w:p>
    <w:p>
      <w:pPr>
        <w:ind w:left="960" w:right="80" w:hanging="181"/>
        <w:spacing w:after="0" w:line="27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the execution of any such forms and the timely filing of such forms with the SEC and any other authority;</w:t>
      </w:r>
    </w:p>
    <w:p>
      <w:pPr>
        <w:spacing w:after="0" w:line="163" w:lineRule="exact"/>
        <w:rPr>
          <w:rFonts w:ascii="Times New Roman" w:cs="Times New Roman" w:eastAsia="Times New Roman" w:hAnsi="Times New Roman"/>
          <w:sz w:val="18"/>
          <w:szCs w:val="18"/>
          <w:color w:val="auto"/>
        </w:rPr>
      </w:pPr>
    </w:p>
    <w:p>
      <w:pPr>
        <w:ind w:left="960" w:right="120" w:hanging="181"/>
        <w:spacing w:after="0" w:line="27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 on my behalf as my account administrator, user, or technical administrator, in each such capacity, with all authority permitted thereto under EDGAR Next with respect to my SEC filings (including Forms 3, 4, and 5, Schedule 13D and 13G, or Form 144); and</w:t>
      </w:r>
    </w:p>
    <w:p>
      <w:pPr>
        <w:spacing w:after="0" w:line="163" w:lineRule="exact"/>
        <w:rPr>
          <w:rFonts w:ascii="Times New Roman" w:cs="Times New Roman" w:eastAsia="Times New Roman" w:hAnsi="Times New Roman"/>
          <w:sz w:val="18"/>
          <w:szCs w:val="18"/>
          <w:color w:val="auto"/>
        </w:rPr>
      </w:pPr>
    </w:p>
    <w:p>
      <w:pPr>
        <w:ind w:left="960" w:right="20" w:hanging="181"/>
        <w:spacing w:after="0" w:line="25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3" w:lineRule="exact"/>
        <w:rPr>
          <w:sz w:val="20"/>
          <w:szCs w:val="20"/>
          <w:color w:val="auto"/>
        </w:rPr>
      </w:pPr>
    </w:p>
    <w:p>
      <w:pPr>
        <w:ind w:hanging="3"/>
        <w:spacing w:after="0" w:line="270"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re-substitution, delegation or revocation, hereby ratifying and confirming all that such Attorney-in-Fact, or such Attorney-in-Fact’s substitute, re-substitute or delegate, shall lawfully do or cause to be done by virtue of this Power of Attorney and the rights and powers herein granted. The undersigned acknowledges that each such Attorney-in-Fact, in serving in such capacity at the request of the undersigned, is not assuming any of the undersigned's responsibilities to comply with the Exchange Act or Rule 144.</w:t>
      </w:r>
    </w:p>
    <w:p>
      <w:pPr>
        <w:spacing w:after="0" w:line="173" w:lineRule="exact"/>
        <w:rPr>
          <w:sz w:val="20"/>
          <w:szCs w:val="20"/>
          <w:color w:val="auto"/>
        </w:rPr>
      </w:pPr>
    </w:p>
    <w:p>
      <w:pPr>
        <w:jc w:val="both"/>
        <w:ind w:right="500" w:hanging="8"/>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Schedule 13D and 13G, or Form 144 with respect to the undersigned's holdings of and transactions in securities issued by the Company, unless earlier revoked by the undersigned in a signed writing delivered to the foregoing attorneys-in-fact.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April 2026.</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Signed:</w:t>
            </w:r>
          </w:p>
        </w:tc>
        <w:tc>
          <w:tcPr>
            <w:tcW w:w="68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/s/ Mogens C. Bay_______</w:t>
            </w:r>
          </w:p>
        </w:tc>
      </w:tr>
      <w:tr>
        <w:trPr>
          <w:trHeight w:val="20"/>
        </w:trPr>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34"/>
        </w:trPr>
        <w:tc>
          <w:tcPr>
            <w:tcW w:w="600" w:type="dxa"/>
            <w:vAlign w:val="bottom"/>
          </w:tcPr>
          <w:p>
            <w:pPr>
              <w:spacing w:after="0"/>
              <w:rPr>
                <w:sz w:val="20"/>
                <w:szCs w:val="20"/>
                <w:color w:val="auto"/>
              </w:rPr>
            </w:pPr>
          </w:p>
        </w:tc>
        <w:tc>
          <w:tcPr>
            <w:tcW w:w="26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Mogens C. Bay</w:t>
            </w:r>
          </w:p>
        </w:tc>
      </w:tr>
    </w:tbl>
    <w:p>
      <w:pPr>
        <w:spacing w:after="0" w:line="1" w:lineRule="exact"/>
        <w:rPr>
          <w:sz w:val="20"/>
          <w:szCs w:val="20"/>
          <w:color w:val="auto"/>
        </w:rPr>
      </w:pPr>
    </w:p>
    <w:sectPr>
      <w:pgSz w:w="11900" w:h="16838" w:orient="portrait"/>
      <w:cols w:equalWidth="0" w:num="1">
        <w:col w:w="10920"/>
      </w:cols>
      <w:pgMar w:left="460" w:top="12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5232" TargetMode="External"/><Relationship Id="rId14" Type="http://schemas.openxmlformats.org/officeDocument/2006/relationships/hyperlink" Target="http://www.sec.gov/cgi-bin/browse-edgar?action=getcompany&amp;CIK=00001027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2026-04-28T16:44:07Z</dcterms:created>
  <dcterms:modified xsi:type="dcterms:W3CDTF">2026-04-28T16:44:07Z</dcterms:modified>
</cp:coreProperties>
</file>