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vmi-20260627x10q.htm"/>
        <w:bookmarkStart w:id="1" w:name="ksvmi202606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center"/>
        <w:rPr/>
      </w:pPr>
      <w:r>
        <w:rPr/>
        <w:t>​</w:t>
      </w:r>
    </w:p>
    <w:p>
      <w:pPr>
        <w:pStyle w:val="TextBody"/>
        <w:bidi w:val="0"/>
        <w:spacing w:before="240" w:after="0"/>
        <w:ind w:left="0" w:right="0" w:hanging="0"/>
        <w:jc w:val="center"/>
        <w:rPr>
          <w:rFonts w:ascii="Times New Roman;Times;serif" w:hAnsi="Times New Roman;Times;serif"/>
          <w:b/>
          <w:sz w:val="28"/>
        </w:rPr>
      </w:pPr>
      <w:bookmarkStart w:id="2" w:name="_a7aa53c2_b844_4f2e_8be2_9cd6c9caff4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pBdr/>
        <w:bidi w:val="0"/>
        <w:spacing w:before="0" w:after="40"/>
        <w:ind w:left="0" w:right="0" w:hanging="72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For the quarterly period ended June 27, 2026</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pBdr/>
        <w:bidi w:val="0"/>
        <w:spacing w:before="0" w:after="40"/>
        <w:ind w:left="0" w:right="0" w:hanging="72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For the transition period from ______ to ______</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Commission File Number: 001-31429</w:t>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Valmont Industries,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i-8OEPH-8EmpT6ZI5JWPcA_4_1"/>
      <w:bookmarkStart w:id="4" w:name="Tc_lJIy-O3qUECexyAX4HgVGQ_4_0"/>
      <w:bookmarkStart w:id="5" w:name="Tc_gvRVW_5_oEWeDhOgAEy4LA_3_0"/>
      <w:bookmarkStart w:id="6" w:name="Tc_hejYkrRkr0CWZmo1xbYJLw_1_1"/>
      <w:bookmarkStart w:id="7" w:name="Tc_NIZCmuvt-k2Krxq3mHm2rg_1_0"/>
      <w:bookmarkStart w:id="8" w:name="_f59667ac_8a3c_43a8_948e_b8383e488bc6"/>
      <w:bookmarkStart w:id="9" w:name="Tc_i-8OEPH-8EmpT6ZI5JWPcA_4_1"/>
      <w:bookmarkStart w:id="10" w:name="Tc_lJIy-O3qUECexyAX4HgVGQ_4_0"/>
      <w:bookmarkStart w:id="11" w:name="Tc_gvRVW_5_oEWeDhOgAEy4LA_3_0"/>
      <w:bookmarkStart w:id="12" w:name="Tc_hejYkrRkr0CWZmo1xbYJLw_1_1"/>
      <w:bookmarkStart w:id="13" w:name="Tc_NIZCmuvt-k2Krxq3mHm2rg_1_0"/>
      <w:bookmarkStart w:id="14" w:name="_f59667ac_8a3c_43a8_948e_b8383e488bc6"/>
      <w:bookmarkEnd w:id="9"/>
      <w:bookmarkEnd w:id="10"/>
      <w:bookmarkEnd w:id="11"/>
      <w:bookmarkEnd w:id="12"/>
      <w:bookmarkEnd w:id="13"/>
      <w:bookmarkEnd w:id="14"/>
    </w:p>
    <w:tbl>
      <w:tblPr>
        <w:tblW w:w="6962" w:type="dxa"/>
        <w:jc w:val="left"/>
        <w:tblInd w:w="0" w:type="dxa"/>
        <w:tblLayout w:type="fixed"/>
        <w:tblCellMar>
          <w:top w:w="0" w:type="dxa"/>
          <w:left w:w="0" w:type="dxa"/>
          <w:bottom w:w="0" w:type="dxa"/>
          <w:right w:w="0" w:type="dxa"/>
        </w:tblCellMar>
      </w:tblPr>
      <w:tblGrid>
        <w:gridCol w:w="4291"/>
        <w:gridCol w:w="2671"/>
      </w:tblGrid>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Omaha,</w:t>
            </w:r>
            <w:r>
              <w:rPr>
                <w:rFonts w:ascii="Times New Roman;Times;serif" w:hAnsi="Times New Roman;Times;serif"/>
                <w:sz w:val="20"/>
              </w:rPr>
              <w:t xml:space="preserve"> </w:t>
            </w:r>
            <w:r>
              <w:rPr>
                <w:rFonts w:ascii="Times New Roman;Times;serif" w:hAnsi="Times New Roman;Times;serif"/>
                <w:b/>
                <w:sz w:val="20"/>
              </w:rPr>
              <w:t>Nebraska</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b/>
          <w:sz w:val="20"/>
        </w:rPr>
        <w:t>(402)</w:t>
      </w:r>
      <w:r>
        <w:rPr>
          <w:rFonts w:ascii="Times New Roman;Times;serif" w:hAnsi="Times New Roman;Times;serif"/>
          <w:sz w:val="20"/>
        </w:rPr>
        <w:t xml:space="preserve"> </w:t>
      </w:r>
      <w:r>
        <w:rPr>
          <w:rFonts w:ascii="Times New Roman;Times;serif" w:hAnsi="Times New Roman;Times;serif"/>
          <w:b/>
          <w:sz w:val="20"/>
        </w:rPr>
        <w:t>963-1000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120"/>
        <w:ind w:left="36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5" w:name="Tc_-fAf5E_HvUahstHhH-psbg_0_4"/>
      <w:bookmarkStart w:id="16" w:name="Tc_WTak-kvi7kCbAkZ6gjV6qQ_0_2"/>
      <w:bookmarkStart w:id="17" w:name="Tc_Q1b2uFSaREqvaebWwDl37w_0_0"/>
      <w:bookmarkStart w:id="18" w:name="_4994dc0c_fc3c_4ab9_8896_c80deb3003db"/>
      <w:bookmarkStart w:id="19" w:name="Tc_-fAf5E_HvUahstHhH-psbg_0_4"/>
      <w:bookmarkStart w:id="20" w:name="Tc_WTak-kvi7kCbAkZ6gjV6qQ_0_2"/>
      <w:bookmarkStart w:id="21" w:name="Tc_Q1b2uFSaREqvaebWwDl37w_0_0"/>
      <w:bookmarkStart w:id="22" w:name="_4994dc0c_fc3c_4ab9_8896_c80deb3003db"/>
      <w:bookmarkEnd w:id="19"/>
      <w:bookmarkEnd w:id="20"/>
      <w:bookmarkEnd w:id="21"/>
      <w:bookmarkEnd w:id="22"/>
    </w:p>
    <w:tbl>
      <w:tblPr>
        <w:tblW w:w="7910" w:type="dxa"/>
        <w:jc w:val="left"/>
        <w:tblInd w:w="0" w:type="dxa"/>
        <w:tblLayout w:type="fixed"/>
        <w:tblCellMar>
          <w:top w:w="0" w:type="dxa"/>
          <w:left w:w="0" w:type="dxa"/>
          <w:bottom w:w="28" w:type="dxa"/>
          <w:right w:w="0" w:type="dxa"/>
        </w:tblCellMar>
      </w:tblPr>
      <w:tblGrid>
        <w:gridCol w:w="2416"/>
        <w:gridCol w:w="226"/>
        <w:gridCol w:w="1561"/>
        <w:gridCol w:w="226"/>
        <w:gridCol w:w="3481"/>
      </w:tblGrid>
      <w:tr>
        <w:trPr/>
        <w:tc>
          <w:tcPr>
            <w:tcW w:w="24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26" w:type="dxa"/>
            <w:tcBorders/>
            <w:tcMar>
              <w:bottom w:w="0"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26" w:type="dxa"/>
            <w:tcBorders/>
            <w:tcMar>
              <w:bottom w:w="0"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4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$1.00 par value</w:t>
            </w:r>
          </w:p>
        </w:tc>
        <w:tc>
          <w:tcPr>
            <w:tcW w:w="226" w:type="dxa"/>
            <w:tcBorders/>
            <w:tcMar>
              <w:bottom w:w="0" w:type="dxa"/>
            </w:tcMar>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VMI</w:t>
            </w:r>
          </w:p>
        </w:tc>
        <w:tc>
          <w:tcPr>
            <w:tcW w:w="226" w:type="dxa"/>
            <w:tcBorders/>
            <w:tcMar>
              <w:bottom w:w="0" w:type="dxa"/>
            </w:tcMar>
            <w:vAlign w:val="center"/>
          </w:tcPr>
          <w:p>
            <w:pPr>
              <w:pStyle w:val="TableContents"/>
              <w:bidi w:val="0"/>
              <w:spacing w:before="0" w:after="0"/>
              <w:ind w:left="0" w:right="0" w:hanging="0"/>
              <w:jc w:val="left"/>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240" w:after="12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r>
        <w:rPr>
          <w:rFonts w:ascii="Times New Roman;Times;serif" w:hAnsi="Times New Roman;Times;serif"/>
          <w:sz w:val="18"/>
        </w:rPr>
        <w:t xml:space="preserve">Accelerated filer </w:t>
      </w:r>
      <w:r>
        <w:rPr>
          <w:rFonts w:ascii="Times New Roman;Times;serif" w:hAnsi="Times New Roman;Times;serif"/>
          <w:sz w:val="20"/>
        </w:rPr>
        <w:t>☐</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18"/>
        </w:rPr>
        <w:t xml:space="preserve">Non-accelerated filer </w:t>
      </w:r>
      <w:r>
        <w:rPr>
          <w:rFonts w:ascii="Times New Roman;Times;serif" w:hAnsi="Times New Roman;Times;serif"/>
          <w:sz w:val="20"/>
        </w:rPr>
        <w:t>☐</w:t>
      </w:r>
      <w:r>
        <w:rPr>
          <w:rFonts w:ascii="Times New Roman;Times;serif" w:hAnsi="Times New Roman;Times;serif"/>
          <w:sz w:val="18"/>
        </w:rPr>
        <w:t>Smaller reporting company</w:t>
      </w:r>
      <w:r>
        <w:rPr>
          <w:rFonts w:ascii="Times New Roman;Times;serif" w:hAnsi="Times New Roman;Times;serif"/>
          <w:sz w:val="20"/>
        </w:rPr>
        <w:t xml:space="preserve"> ☐</w:t>
      </w:r>
    </w:p>
    <w:p>
      <w:pPr>
        <w:pStyle w:val="TextBody"/>
        <w:bidi w:val="0"/>
        <w:spacing w:before="0" w:after="120"/>
        <w:ind w:left="2880" w:right="0" w:firstLine="2880"/>
        <w:jc w:val="left"/>
        <w:rPr>
          <w:rFonts w:ascii="Times New Roman;Times;serif" w:hAnsi="Times New Roman;Times;serif"/>
          <w:sz w:val="20"/>
        </w:rPr>
      </w:pPr>
      <w:r>
        <w:rPr>
          <w:rFonts w:ascii="Times New Roman;Times;serif" w:hAnsi="Times New Roman;Times;serif"/>
          <w:sz w:val="18"/>
        </w:rPr>
        <w:t>Emerging growth company</w:t>
      </w:r>
      <w:r>
        <w:rPr>
          <w:rFonts w:ascii="Times New Roman;Times;serif" w:hAnsi="Times New Roman;Times;serif"/>
          <w:sz w:val="20"/>
        </w:rPr>
        <w:t xml:space="preserve"> ☐</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36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w:t>
      </w:r>
      <w:r>
        <w:rPr>
          <w:rFonts w:ascii="Times New Roman;Times;serif" w:hAnsi="Times New Roman;Times;serif"/>
          <w:sz w:val="20"/>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sz w:val="18"/>
        </w:rPr>
        <w:t>As of July 24, 2026, there were 19,304,858 shares of the registrant’s common stock outstanding.</w:t>
      </w:r>
    </w:p>
    <w:p>
      <w:pPr>
        <w:pStyle w:val="TextBody"/>
        <w:pBdr>
          <w:top w:val="single" w:sz="2" w:space="1" w:color="000000"/>
          <w:bottom w:val="single" w:sz="24" w:space="1" w:color="000000"/>
        </w:pBdr>
        <w:bidi w:val="0"/>
        <w:spacing w:lineRule="atLeast" w:line="142"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TOC"/>
      <w:bookmarkStart w:id="24" w:name="_c820b905_3f0e_4840_845c_734de08d8666"/>
      <w:bookmarkEnd w:id="23"/>
      <w:bookmarkEnd w:id="24"/>
      <w:r>
        <w:rPr>
          <w:rFonts w:ascii="Times New Roman;Times;serif" w:hAnsi="Times New Roman;Times;serif"/>
          <w:b/>
          <w:sz w:val="20"/>
        </w:rPr>
        <w:t>VALMONT INDUSTRIES,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664"/>
        <w:gridCol w:w="8893"/>
        <w:gridCol w:w="286"/>
        <w:gridCol w:w="362"/>
      </w:tblGrid>
      <w:tr>
        <w:trPr/>
        <w:tc>
          <w:tcPr>
            <w:tcW w:w="664" w:type="dxa"/>
            <w:tcBorders/>
            <w:vAlign w:val="center"/>
          </w:tcPr>
          <w:p>
            <w:pPr>
              <w:pStyle w:val="TableContents"/>
              <w:bidi w:val="0"/>
              <w:spacing w:before="0" w:after="0"/>
              <w:ind w:left="0" w:right="0" w:hanging="0"/>
              <w:jc w:val="left"/>
              <w:rPr/>
            </w:pPr>
            <w:r>
              <w:rPr/>
              <w:t>​</w:t>
            </w:r>
          </w:p>
        </w:tc>
        <w:tc>
          <w:tcPr>
            <w:tcW w:w="88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362" w:type="dxa"/>
            <w:tcBorders/>
            <w:vAlign w:val="center"/>
          </w:tcPr>
          <w:p>
            <w:pPr>
              <w:pStyle w:val="TableContents"/>
              <w:bidi w:val="0"/>
              <w:spacing w:before="0" w:after="0"/>
              <w:ind w:left="0" w:right="0" w:hanging="0"/>
              <w:jc w:val="center"/>
              <w:rPr/>
            </w:pPr>
            <w:r>
              <w:rPr/>
              <w:t>​</w:t>
            </w:r>
          </w:p>
        </w:tc>
      </w:tr>
      <w:tr>
        <w:trPr/>
        <w:tc>
          <w:tcPr>
            <w:tcW w:w="664" w:type="dxa"/>
            <w:tcBorders/>
            <w:vAlign w:val="center"/>
          </w:tcPr>
          <w:p>
            <w:pPr>
              <w:pStyle w:val="TableContents"/>
              <w:bidi w:val="0"/>
              <w:spacing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PART I—FINANCIAL INFORMATION</w:t>
            </w:r>
          </w:p>
        </w:tc>
        <w:tc>
          <w:tcPr>
            <w:tcW w:w="28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4"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Item 1.</w:t>
              </w:r>
            </w:hyperlink>
          </w:p>
        </w:tc>
        <w:tc>
          <w:tcPr>
            <w:tcW w:w="8893"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Financial Statements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CONDENSEDCONSOLIDATEDSTATEMENTSOFEARNING">
              <w:r>
                <w:rPr>
                  <w:rStyle w:val="InternetLink"/>
                  <w:rFonts w:ascii="Times New Roman;Times;serif" w:hAnsi="Times New Roman;Times;serif"/>
                  <w:b w:val="false"/>
                  <w:i w:val="false"/>
                  <w:caps w:val="false"/>
                  <w:smallCaps w:val="false"/>
                  <w:sz w:val="20"/>
                </w:rPr>
                <w:t>Condensed Consolidated Statements of Operations for the thirteen and twenty-six weeks ended June 27, 2026 and June 28,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for the thirteen and twenty-six weeks ended June 27, 2026 and June 28,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CONDENSEDCONSOLIDATEDBALANCESHEETS">
              <w:r>
                <w:rPr>
                  <w:rStyle w:val="InternetLink"/>
                  <w:rFonts w:ascii="Times New Roman;Times;serif" w:hAnsi="Times New Roman;Times;serif"/>
                  <w:b w:val="false"/>
                  <w:i w:val="false"/>
                  <w:caps w:val="false"/>
                  <w:smallCaps w:val="false"/>
                  <w:sz w:val="20"/>
                </w:rPr>
                <w:t>Condensed Consolidated Balance Sheets as of June 27, 2026 and December 27,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twenty-six weeks ended June 27, 2026 and June 28,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CONDENSEDCONSOLIDATEDSTATEMENTSOFSHAREHO">
              <w:r>
                <w:rPr>
                  <w:rStyle w:val="InternetLink"/>
                  <w:rFonts w:ascii="Times New Roman;Times;serif" w:hAnsi="Times New Roman;Times;serif"/>
                  <w:b w:val="false"/>
                  <w:i w:val="false"/>
                  <w:caps w:val="false"/>
                  <w:smallCaps w:val="false"/>
                  <w:sz w:val="20"/>
                </w:rPr>
                <w:t>Condensed Consolidated Statements of Shareholders’ Equity and Redeemable Noncontrolling Interests for the thirteen and twenty-six weeks ended June 27, 2026 and June 28, 2025</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hyperlink w:anchor="NOTESTOCONDENSEDCONSOLIT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64"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93"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64"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93"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64" w:type="dxa"/>
            <w:tcBorders/>
            <w:vAlign w:val="center"/>
          </w:tcPr>
          <w:p>
            <w:pPr>
              <w:pStyle w:val="TableContents"/>
              <w:bidi w:val="0"/>
              <w:spacing w:lineRule="auto" w:line="328"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8893" w:type="dxa"/>
            <w:tcBorders/>
            <w:vAlign w:val="center"/>
          </w:tcPr>
          <w:p>
            <w:pPr>
              <w:pStyle w:val="TableContents"/>
              <w:bidi w:val="0"/>
              <w:spacing w:lineRule="auto" w:line="328"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r>
              <w:rPr/>
              <w:t>​</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b/>
                <w:sz w:val="20"/>
              </w:rPr>
              <w:t>PART II</w:t>
            </w:r>
            <w:r>
              <w:rPr>
                <w:rFonts w:ascii="Times New Roman;Times;serif" w:hAnsi="Times New Roman;Times;serif"/>
                <w:sz w:val="20"/>
              </w:rPr>
              <w:t>—</w:t>
            </w:r>
            <w:r>
              <w:rPr>
                <w:rFonts w:ascii="Times New Roman;Times;serif" w:hAnsi="Times New Roman;Times;serif"/>
                <w:b/>
                <w:sz w:val="20"/>
              </w:rPr>
              <w:t>OTHER INFORMATION</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64" w:type="dxa"/>
            <w:tcBorders/>
            <w:vAlign w:val="center"/>
          </w:tcPr>
          <w:p>
            <w:pPr>
              <w:pStyle w:val="TableContents"/>
              <w:bidi w:val="0"/>
              <w:spacing w:lineRule="auto" w:line="328"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8893" w:type="dxa"/>
            <w:tcBorders/>
            <w:vAlign w:val="center"/>
          </w:tcPr>
          <w:p>
            <w:pPr>
              <w:pStyle w:val="TableContents"/>
              <w:bidi w:val="0"/>
              <w:spacing w:lineRule="auto" w:line="328"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8893" w:type="dxa"/>
            <w:tcBorders/>
            <w:vAlign w:val="center"/>
          </w:tcPr>
          <w:p>
            <w:pPr>
              <w:pStyle w:val="TableContents"/>
              <w:bidi w:val="0"/>
              <w:spacing w:lineRule="auto" w:line="328"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93"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8893" w:type="dxa"/>
            <w:tcBorders/>
            <w:vAlign w:val="center"/>
          </w:tcPr>
          <w:p>
            <w:pPr>
              <w:pStyle w:val="TableContents"/>
              <w:bidi w:val="0"/>
              <w:spacing w:lineRule="auto" w:line="328"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w:t>
              </w:r>
            </w:hyperlink>
          </w:p>
        </w:tc>
        <w:tc>
          <w:tcPr>
            <w:tcW w:w="8893" w:type="dxa"/>
            <w:tcBorders/>
            <w:vAlign w:val="center"/>
          </w:tcPr>
          <w:p>
            <w:pPr>
              <w:pStyle w:val="TableContents"/>
              <w:bidi w:val="0"/>
              <w:spacing w:lineRule="auto" w:line="328"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Mine Safety Disclosures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893" w:type="dxa"/>
            <w:tcBorders/>
            <w:vAlign w:val="center"/>
          </w:tcPr>
          <w:p>
            <w:pPr>
              <w:pStyle w:val="TableContents"/>
              <w:bidi w:val="0"/>
              <w:spacing w:lineRule="auto" w:line="328"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64" w:type="dxa"/>
            <w:tcBorders/>
            <w:vAlign w:val="center"/>
          </w:tcPr>
          <w:p>
            <w:pPr>
              <w:pStyle w:val="TableContents"/>
              <w:bidi w:val="0"/>
              <w:spacing w:lineRule="auto" w:line="328"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8893" w:type="dxa"/>
            <w:tcBorders/>
            <w:vAlign w:val="center"/>
          </w:tcPr>
          <w:p>
            <w:pPr>
              <w:pStyle w:val="TableContents"/>
              <w:bidi w:val="0"/>
              <w:spacing w:lineRule="auto" w:line="328"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64" w:type="dxa"/>
            <w:tcBorders/>
            <w:vAlign w:val="center"/>
          </w:tcPr>
          <w:p>
            <w:pPr>
              <w:pStyle w:val="TableContents"/>
              <w:bidi w:val="0"/>
              <w:spacing w:lineRule="auto" w:line="328" w:before="0" w:after="0"/>
              <w:ind w:left="0" w:right="0" w:hanging="0"/>
              <w:jc w:val="left"/>
              <w:rPr/>
            </w:pPr>
            <w:r>
              <w:rPr/>
              <w:t>​</w:t>
            </w:r>
          </w:p>
        </w:tc>
        <w:tc>
          <w:tcPr>
            <w:tcW w:w="8893" w:type="dxa"/>
            <w:tcBorders/>
            <w:vAlign w:val="center"/>
          </w:tcPr>
          <w:p>
            <w:pPr>
              <w:pStyle w:val="TableContents"/>
              <w:bidi w:val="0"/>
              <w:spacing w:lineRule="auto" w:line="328" w:before="0" w:after="0"/>
              <w:ind w:left="0" w:right="0" w:hanging="0"/>
              <w:jc w:val="left"/>
              <w:rPr/>
            </w:pPr>
            <w:r>
              <w:rPr/>
              <w:t>​</w:t>
            </w:r>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9557" w:type="dxa"/>
            <w:gridSpan w:val="2"/>
            <w:tcBorders/>
            <w:vAlign w:val="center"/>
          </w:tcPr>
          <w:p>
            <w:pPr>
              <w:pStyle w:val="TableContents"/>
              <w:bidi w:val="0"/>
              <w:spacing w:lineRule="auto" w:line="328"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28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 w:name="PARTIFINANCIALINFORMATION_642678"/>
      <w:bookmarkStart w:id="26" w:name="_93379863_169f_456d_a9db_1920962d4007"/>
      <w:bookmarkEnd w:id="25"/>
      <w:bookmarkEnd w:id="26"/>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40"/>
        <w:ind w:left="0" w:right="0" w:hanging="0"/>
        <w:jc w:val="center"/>
        <w:rPr>
          <w:rFonts w:ascii="Times New Roman;Times;serif" w:hAnsi="Times New Roman;Times;serif"/>
          <w:b/>
          <w:sz w:val="20"/>
        </w:rPr>
      </w:pPr>
      <w:bookmarkStart w:id="27" w:name="CONDENSEDCONSOLIDATEDSTATEMENTSOFEARNING"/>
      <w:bookmarkEnd w:id="27"/>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8" w:name="Tc_YNlQoV-UVEaU1njhGSMazg_33_0"/>
      <w:bookmarkStart w:id="29" w:name="Tc_SWBtpw_pT02htFna0SKN6g_32_11"/>
      <w:bookmarkStart w:id="30" w:name="Tc_nxYtWJTNjUWzvisp-h7Bdg_32_8"/>
      <w:bookmarkStart w:id="31" w:name="Tc_NaGkiouClkWpPLiJraBqQA_32_5"/>
      <w:bookmarkStart w:id="32" w:name="Tc_yY7w3VIrEEOYDoz-CLStgA_32_2"/>
      <w:bookmarkStart w:id="33" w:name="Tc_xT-0C_lhoU-mgLXeWf82YA_32_0"/>
      <w:bookmarkStart w:id="34" w:name="Tc_8wpHSL__a0CxjblPPdQbaw_31_0"/>
      <w:bookmarkStart w:id="35" w:name="Tc_EneKI_CWQUaPiaS7QS1VWQ_30_11"/>
      <w:bookmarkStart w:id="36" w:name="Tc_Xx2IBkp8q0-3u6gcdQtlzw_30_8"/>
      <w:bookmarkStart w:id="37" w:name="Tc_VoWVP0B4FEWdwSWkEYCHjw_30_5"/>
      <w:bookmarkStart w:id="38" w:name="Tc_OCQhciHNukiO7JwJqOdqPQ_30_2"/>
      <w:bookmarkStart w:id="39" w:name="Tc_B-_H7CfoJUWtZYG3rkXE1A_30_0"/>
      <w:bookmarkStart w:id="40" w:name="Tc_IJv5ncWYmkiVUauWwSyeAg_29_0"/>
      <w:bookmarkStart w:id="41" w:name="Tc_qY42JwdF4EaKGUOD3dTmYA_28_0"/>
      <w:bookmarkStart w:id="42" w:name="Tc_iXsD6QXYSUOeD7iMgbyapA_27_0"/>
      <w:bookmarkStart w:id="43" w:name="Tc_l8hgnoS050W9DFgzhllGKA_26_0"/>
      <w:bookmarkStart w:id="44" w:name="Tc_52lSZVPZuUezVP0dc1DHWg_25_0"/>
      <w:bookmarkStart w:id="45" w:name="Tc_PDXZkT9EbEmDpLJ-emiMcA_24_0"/>
      <w:bookmarkStart w:id="46" w:name="Tc__HQNdDWqokmhFMmEfDXNcQ_23_0"/>
      <w:bookmarkStart w:id="47" w:name="Tc_DVKFRX9T002jGTXq9bI3aQ_22_0"/>
      <w:bookmarkStart w:id="48" w:name="Tc_PbEsbGUPaUWYn1tbbXcrdg_21_0"/>
      <w:bookmarkStart w:id="49" w:name="Tc_-sskUEJtZ0yAQ58ta1CF5Q_20_0"/>
      <w:bookmarkStart w:id="50" w:name="Tc_iKktpiRL90SpxZr3LztH-A_19_0"/>
      <w:bookmarkStart w:id="51" w:name="Tc_PyOl5IZf0kiHAnHPRgElVw_18_0"/>
      <w:bookmarkStart w:id="52" w:name="Tc_klNkBaMkQU2i-xaroW5_mQ_17_0"/>
      <w:bookmarkStart w:id="53" w:name="Tc_n7DYMry4LEC6HAk9sJES6Q_16_0"/>
      <w:bookmarkStart w:id="54" w:name="Tc_rw-7fuser0W4aw40O89p7A_15_0"/>
      <w:bookmarkStart w:id="55" w:name="Tc_dHfViOwQkU2zt9Nrdheqqg_14_0"/>
      <w:bookmarkStart w:id="56" w:name="Tc_K4uwrf-TV0GBiBFsWfB-NA_13_9"/>
      <w:bookmarkStart w:id="57" w:name="Tc__Nx5dMBZbkmMtOK1a9nUiA_13_3"/>
      <w:bookmarkStart w:id="58" w:name="Tc_R5j99tcOuk6Bqjv64gI0bg_13_0"/>
      <w:bookmarkStart w:id="59" w:name="Tc_0z2ol_3ejkG6wZaYB9zaSQ_12_9"/>
      <w:bookmarkStart w:id="60" w:name="Tc_mIOwXm0OT0CzTMb0WFBFlg_12_3"/>
      <w:bookmarkStart w:id="61" w:name="Tc_GETFd4PifEyNt4e_jBYXDQ_12_0"/>
      <w:bookmarkStart w:id="62" w:name="Tc_EWsdo0LVZEGBAOc2yDutyg_11_0"/>
      <w:bookmarkStart w:id="63" w:name="Tc_irLlR49aLUWilDWdYuTCDw_10_0"/>
      <w:bookmarkStart w:id="64" w:name="Tc_aOx19VlSRkGNIXYMHcsuNg_9_0"/>
      <w:bookmarkStart w:id="65" w:name="Tc_KXTRFBmtQU2AnPcyQ_JJcA_8_0"/>
      <w:bookmarkStart w:id="66" w:name="Tc_CC9wVslIl0Ctlm72Kz-EDw_7_0"/>
      <w:bookmarkStart w:id="67" w:name="Tc_50VQKePAfEmm7NW7s50RoQ_6_0"/>
      <w:bookmarkStart w:id="68" w:name="Tc_b1keU08Dt0y-yyU-A3-9aw_5_0"/>
      <w:bookmarkStart w:id="69" w:name="Tc_CvD2CCSpjk60ta25pVHhyw_4_11"/>
      <w:bookmarkStart w:id="70" w:name="Tc_36yjuSxrF0Wt3KhMC3wXyw_4_8"/>
      <w:bookmarkStart w:id="71" w:name="Tc_9BxKuu7oG0izizJ58PeARA_4_5"/>
      <w:bookmarkStart w:id="72" w:name="Tc_QVz1hIieEk6rLiDoQvvg1A_4_2"/>
      <w:bookmarkStart w:id="73" w:name="Tc_T8hzbWAd60GuugUutlEpJw_4_0"/>
      <w:bookmarkStart w:id="74" w:name="Tc__h8vx4dH80G_7TnIwlsRlg_3_11"/>
      <w:bookmarkStart w:id="75" w:name="Tc_r22NHoTpvEeUnZnuRdsq6g_3_8"/>
      <w:bookmarkStart w:id="76" w:name="Tc_sTlq5OHmME6z66Eib8zFYA_3_5"/>
      <w:bookmarkStart w:id="77" w:name="Tc_Mmrim47PhUu_7qZK3BLDwA_3_2"/>
      <w:bookmarkStart w:id="78" w:name="Tc_RzKmWcwpX0q9fT3gpqv8fQ_2_11"/>
      <w:bookmarkStart w:id="79" w:name="Tc_9vUBFF1ZQk-8qV9RxQESGw_2_8"/>
      <w:bookmarkStart w:id="80" w:name="Tc_Av7_4y0Tzk2CM-IQlh0OkA_2_5"/>
      <w:bookmarkStart w:id="81" w:name="Tc_I-Th3A34hki5acZZG2LFEQ_2_2"/>
      <w:bookmarkStart w:id="82" w:name="Tc_45amU64CXUGj4tP04UpFNQ_1_8"/>
      <w:bookmarkStart w:id="83" w:name="Tc_JUfVms8zYEyBpizjy4X4fw_1_2"/>
      <w:bookmarkStart w:id="84" w:name="_8aca283a_884a_498c_9142_840c84bd0b17"/>
      <w:bookmarkStart w:id="85" w:name="Tc_YNlQoV-UVEaU1njhGSMazg_33_0"/>
      <w:bookmarkStart w:id="86" w:name="Tc_SWBtpw_pT02htFna0SKN6g_32_11"/>
      <w:bookmarkStart w:id="87" w:name="Tc_nxYtWJTNjUWzvisp-h7Bdg_32_8"/>
      <w:bookmarkStart w:id="88" w:name="Tc_NaGkiouClkWpPLiJraBqQA_32_5"/>
      <w:bookmarkStart w:id="89" w:name="Tc_yY7w3VIrEEOYDoz-CLStgA_32_2"/>
      <w:bookmarkStart w:id="90" w:name="Tc_xT-0C_lhoU-mgLXeWf82YA_32_0"/>
      <w:bookmarkStart w:id="91" w:name="Tc_8wpHSL__a0CxjblPPdQbaw_31_0"/>
      <w:bookmarkStart w:id="92" w:name="Tc_EneKI_CWQUaPiaS7QS1VWQ_30_11"/>
      <w:bookmarkStart w:id="93" w:name="Tc_Xx2IBkp8q0-3u6gcdQtlzw_30_8"/>
      <w:bookmarkStart w:id="94" w:name="Tc_VoWVP0B4FEWdwSWkEYCHjw_30_5"/>
      <w:bookmarkStart w:id="95" w:name="Tc_OCQhciHNukiO7JwJqOdqPQ_30_2"/>
      <w:bookmarkStart w:id="96" w:name="Tc_B-_H7CfoJUWtZYG3rkXE1A_30_0"/>
      <w:bookmarkStart w:id="97" w:name="Tc_IJv5ncWYmkiVUauWwSyeAg_29_0"/>
      <w:bookmarkStart w:id="98" w:name="Tc_qY42JwdF4EaKGUOD3dTmYA_28_0"/>
      <w:bookmarkStart w:id="99" w:name="Tc_iXsD6QXYSUOeD7iMgbyapA_27_0"/>
      <w:bookmarkStart w:id="100" w:name="Tc_l8hgnoS050W9DFgzhllGKA_26_0"/>
      <w:bookmarkStart w:id="101" w:name="Tc_52lSZVPZuUezVP0dc1DHWg_25_0"/>
      <w:bookmarkStart w:id="102" w:name="Tc_PDXZkT9EbEmDpLJ-emiMcA_24_0"/>
      <w:bookmarkStart w:id="103" w:name="Tc__HQNdDWqokmhFMmEfDXNcQ_23_0"/>
      <w:bookmarkStart w:id="104" w:name="Tc_DVKFRX9T002jGTXq9bI3aQ_22_0"/>
      <w:bookmarkStart w:id="105" w:name="Tc_PbEsbGUPaUWYn1tbbXcrdg_21_0"/>
      <w:bookmarkStart w:id="106" w:name="Tc_-sskUEJtZ0yAQ58ta1CF5Q_20_0"/>
      <w:bookmarkStart w:id="107" w:name="Tc_iKktpiRL90SpxZr3LztH-A_19_0"/>
      <w:bookmarkStart w:id="108" w:name="Tc_PyOl5IZf0kiHAnHPRgElVw_18_0"/>
      <w:bookmarkStart w:id="109" w:name="Tc_klNkBaMkQU2i-xaroW5_mQ_17_0"/>
      <w:bookmarkStart w:id="110" w:name="Tc_n7DYMry4LEC6HAk9sJES6Q_16_0"/>
      <w:bookmarkStart w:id="111" w:name="Tc_rw-7fuser0W4aw40O89p7A_15_0"/>
      <w:bookmarkStart w:id="112" w:name="Tc_dHfViOwQkU2zt9Nrdheqqg_14_0"/>
      <w:bookmarkStart w:id="113" w:name="Tc_K4uwrf-TV0GBiBFsWfB-NA_13_9"/>
      <w:bookmarkStart w:id="114" w:name="Tc__Nx5dMBZbkmMtOK1a9nUiA_13_3"/>
      <w:bookmarkStart w:id="115" w:name="Tc_R5j99tcOuk6Bqjv64gI0bg_13_0"/>
      <w:bookmarkStart w:id="116" w:name="Tc_0z2ol_3ejkG6wZaYB9zaSQ_12_9"/>
      <w:bookmarkStart w:id="117" w:name="Tc_mIOwXm0OT0CzTMb0WFBFlg_12_3"/>
      <w:bookmarkStart w:id="118" w:name="Tc_GETFd4PifEyNt4e_jBYXDQ_12_0"/>
      <w:bookmarkStart w:id="119" w:name="Tc_EWsdo0LVZEGBAOc2yDutyg_11_0"/>
      <w:bookmarkStart w:id="120" w:name="Tc_irLlR49aLUWilDWdYuTCDw_10_0"/>
      <w:bookmarkStart w:id="121" w:name="Tc_aOx19VlSRkGNIXYMHcsuNg_9_0"/>
      <w:bookmarkStart w:id="122" w:name="Tc_KXTRFBmtQU2AnPcyQ_JJcA_8_0"/>
      <w:bookmarkStart w:id="123" w:name="Tc_CC9wVslIl0Ctlm72Kz-EDw_7_0"/>
      <w:bookmarkStart w:id="124" w:name="Tc_50VQKePAfEmm7NW7s50RoQ_6_0"/>
      <w:bookmarkStart w:id="125" w:name="Tc_b1keU08Dt0y-yyU-A3-9aw_5_0"/>
      <w:bookmarkStart w:id="126" w:name="Tc_CvD2CCSpjk60ta25pVHhyw_4_11"/>
      <w:bookmarkStart w:id="127" w:name="Tc_36yjuSxrF0Wt3KhMC3wXyw_4_8"/>
      <w:bookmarkStart w:id="128" w:name="Tc_9BxKuu7oG0izizJ58PeARA_4_5"/>
      <w:bookmarkStart w:id="129" w:name="Tc_QVz1hIieEk6rLiDoQvvg1A_4_2"/>
      <w:bookmarkStart w:id="130" w:name="Tc_T8hzbWAd60GuugUutlEpJw_4_0"/>
      <w:bookmarkStart w:id="131" w:name="Tc__h8vx4dH80G_7TnIwlsRlg_3_11"/>
      <w:bookmarkStart w:id="132" w:name="Tc_r22NHoTpvEeUnZnuRdsq6g_3_8"/>
      <w:bookmarkStart w:id="133" w:name="Tc_sTlq5OHmME6z66Eib8zFYA_3_5"/>
      <w:bookmarkStart w:id="134" w:name="Tc_Mmrim47PhUu_7qZK3BLDwA_3_2"/>
      <w:bookmarkStart w:id="135" w:name="Tc_RzKmWcwpX0q9fT3gpqv8fQ_2_11"/>
      <w:bookmarkStart w:id="136" w:name="Tc_9vUBFF1ZQk-8qV9RxQESGw_2_8"/>
      <w:bookmarkStart w:id="137" w:name="Tc_Av7_4y0Tzk2CM-IQlh0OkA_2_5"/>
      <w:bookmarkStart w:id="138" w:name="Tc_I-Th3A34hki5acZZG2LFEQ_2_2"/>
      <w:bookmarkStart w:id="139" w:name="Tc_45amU64CXUGj4tP04UpFNQ_1_8"/>
      <w:bookmarkStart w:id="140" w:name="Tc_JUfVms8zYEyBpizjy4X4fw_1_2"/>
      <w:bookmarkStart w:id="141" w:name="_8aca283a_884a_498c_9142_840c84bd0b17"/>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4925"/>
        <w:gridCol w:w="109"/>
        <w:gridCol w:w="196"/>
        <w:gridCol w:w="826"/>
        <w:gridCol w:w="346"/>
        <w:gridCol w:w="196"/>
        <w:gridCol w:w="826"/>
        <w:gridCol w:w="346"/>
        <w:gridCol w:w="196"/>
        <w:gridCol w:w="826"/>
        <w:gridCol w:w="346"/>
        <w:gridCol w:w="196"/>
        <w:gridCol w:w="871"/>
      </w:tblGrid>
      <w:tr>
        <w:trPr/>
        <w:tc>
          <w:tcPr>
            <w:tcW w:w="49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49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49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49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1,007,493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943,371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1,817,860</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202,002</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1,118,689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726,137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1,381,656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1,290,072</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cost of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117,521</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777,872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729,381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1,490,191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1,407,593</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340,817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321,167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612,269</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335,958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354,458</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321,737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157,590</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(20,658)</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4,962</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deferred compensation investments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1,543</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(6,405)</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(20,558)</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162,475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307,614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137,032</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55,635</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(2,556)</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income tax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53,079</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(loss) before equity method investment loss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228,510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83,953</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attributable to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 Inc.</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83,241</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 Inc. per share: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r>
      <w:tr>
        <w:trPr/>
        <w:tc>
          <w:tcPr>
            <w:tcW w:w="49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2.84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142" w:name="CONDENSEDCONSOLIDATEDSTATEMENTSOFCOMPREH"/>
      <w:bookmarkStart w:id="143" w:name="_488c3e4d_245c_422c_8e82_502d472ab697"/>
      <w:bookmarkEnd w:id="142"/>
      <w:bookmarkEnd w:id="143"/>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44" w:name="Tc_SlJ5H3XDpkSEPSLuXJpZLw_18_11"/>
      <w:bookmarkStart w:id="145" w:name="Tc_U8P21yS5PU6YyYHKWlKaMg_18_8"/>
      <w:bookmarkStart w:id="146" w:name="Tc_-gjhtdNywEWfSOVZadgE0w_18_5"/>
      <w:bookmarkStart w:id="147" w:name="Tc_fjnbm3rzuUWjkv2UNHSnPA_18_2"/>
      <w:bookmarkStart w:id="148" w:name="Tc_Xt0Wl5M9U0eKsk7pIr7A3A_18_0"/>
      <w:bookmarkStart w:id="149" w:name="Tc_HbDL2Q5GZk6KLxi1Mr0MMA_17_0"/>
      <w:bookmarkStart w:id="150" w:name="Tc_gHCgVczXkUO5-Yiwq3rV6w_16_0"/>
      <w:bookmarkStart w:id="151" w:name="Tc_-SvmeIjhlkyl_TE5tLPHdg_15_0"/>
      <w:bookmarkStart w:id="152" w:name="Tc_kyC963DyO06VkD_kmON5YQ_14_0"/>
      <w:bookmarkStart w:id="153" w:name="Tc_Y15WeKmMD0ysCnS0dpRI9w_13_0"/>
      <w:bookmarkStart w:id="154" w:name="Tc_p-KvHBsI7EWdHvh8lytz8A_12_0"/>
      <w:bookmarkStart w:id="155" w:name="Tc_IQJ8Ce5YKUWT_jz_E6mNLA_11_0"/>
      <w:bookmarkStart w:id="156" w:name="Tc_fNhhUkm3K0Sc1RQj7B6nhQ_10_0"/>
      <w:bookmarkStart w:id="157" w:name="Tc_fZlCW4IilU-ZLv422hAfBg_9_0"/>
      <w:bookmarkStart w:id="158" w:name="Tc__GEnr4C-K0yG2Q6vTPXuUg_8_0"/>
      <w:bookmarkStart w:id="159" w:name="Tc__qvgcrtGaEqhEmRy4kZcww_7_0"/>
      <w:bookmarkStart w:id="160" w:name="Tc_FYyH-8TrZUmrvrqjTWsAVQ_6_0"/>
      <w:bookmarkStart w:id="161" w:name="Tc_guUm8mrBcEKsT8Zj0DLkCA_5_0"/>
      <w:bookmarkStart w:id="162" w:name="Tc_EHBEdRKQUEWbd640RSNegQ_4_11"/>
      <w:bookmarkStart w:id="163" w:name="Tc_-ZfmKj9erUmQiSnHPyc5Ig_4_8"/>
      <w:bookmarkStart w:id="164" w:name="Tc_EvUZ02mCWU-BWMcN8XrqXA_4_5"/>
      <w:bookmarkStart w:id="165" w:name="Tc__sAPOmGJB0OQoK33czOl0w_4_2"/>
      <w:bookmarkStart w:id="166" w:name="Tc_UacdOxfv_0O5vXigl4Z_Dg_4_0"/>
      <w:bookmarkStart w:id="167" w:name="Tc_pZtGRDWM5EW1mWLpVhv0kA_3_11"/>
      <w:bookmarkStart w:id="168" w:name="Tc_t16w86mcLUaWhUS1ECDskg_3_8"/>
      <w:bookmarkStart w:id="169" w:name="Tc_7f9V6OvepE65jZBoioI5cw_3_5"/>
      <w:bookmarkStart w:id="170" w:name="Tc_7NXWt2aaQ0OSvPSG4Z7JXA_3_2"/>
      <w:bookmarkStart w:id="171" w:name="Tc_C4XfTSqhK0ea4AhKzJoP7g_2_11"/>
      <w:bookmarkStart w:id="172" w:name="Tc_TFS5aRGtXk6rpqc44ZZmcg_2_8"/>
      <w:bookmarkStart w:id="173" w:name="Tc_6oFW_oed0E-CrZMETW2D2g_2_5"/>
      <w:bookmarkStart w:id="174" w:name="Tc_em5Ha0VnRk6GCl6Z1POsmg_2_2"/>
      <w:bookmarkStart w:id="175" w:name="Tc_y_SoJLvQGU24Q3UX1NeE1g_1_8"/>
      <w:bookmarkStart w:id="176" w:name="Tc_o8D4TVSDVkmvsGisgvRHNw_1_2"/>
      <w:bookmarkStart w:id="177" w:name="_213b7fdd_fe7e_452c_91bf_180f3b68b55a"/>
      <w:bookmarkStart w:id="178" w:name="Tc_SlJ5H3XDpkSEPSLuXJpZLw_18_11"/>
      <w:bookmarkStart w:id="179" w:name="Tc_U8P21yS5PU6YyYHKWlKaMg_18_8"/>
      <w:bookmarkStart w:id="180" w:name="Tc_-gjhtdNywEWfSOVZadgE0w_18_5"/>
      <w:bookmarkStart w:id="181" w:name="Tc_fjnbm3rzuUWjkv2UNHSnPA_18_2"/>
      <w:bookmarkStart w:id="182" w:name="Tc_Xt0Wl5M9U0eKsk7pIr7A3A_18_0"/>
      <w:bookmarkStart w:id="183" w:name="Tc_HbDL2Q5GZk6KLxi1Mr0MMA_17_0"/>
      <w:bookmarkStart w:id="184" w:name="Tc_gHCgVczXkUO5-Yiwq3rV6w_16_0"/>
      <w:bookmarkStart w:id="185" w:name="Tc_-SvmeIjhlkyl_TE5tLPHdg_15_0"/>
      <w:bookmarkStart w:id="186" w:name="Tc_kyC963DyO06VkD_kmON5YQ_14_0"/>
      <w:bookmarkStart w:id="187" w:name="Tc_Y15WeKmMD0ysCnS0dpRI9w_13_0"/>
      <w:bookmarkStart w:id="188" w:name="Tc_p-KvHBsI7EWdHvh8lytz8A_12_0"/>
      <w:bookmarkStart w:id="189" w:name="Tc_IQJ8Ce5YKUWT_jz_E6mNLA_11_0"/>
      <w:bookmarkStart w:id="190" w:name="Tc_fNhhUkm3K0Sc1RQj7B6nhQ_10_0"/>
      <w:bookmarkStart w:id="191" w:name="Tc_fZlCW4IilU-ZLv422hAfBg_9_0"/>
      <w:bookmarkStart w:id="192" w:name="Tc__GEnr4C-K0yG2Q6vTPXuUg_8_0"/>
      <w:bookmarkStart w:id="193" w:name="Tc__qvgcrtGaEqhEmRy4kZcww_7_0"/>
      <w:bookmarkStart w:id="194" w:name="Tc_FYyH-8TrZUmrvrqjTWsAVQ_6_0"/>
      <w:bookmarkStart w:id="195" w:name="Tc_guUm8mrBcEKsT8Zj0DLkCA_5_0"/>
      <w:bookmarkStart w:id="196" w:name="Tc_EHBEdRKQUEWbd640RSNegQ_4_11"/>
      <w:bookmarkStart w:id="197" w:name="Tc_-ZfmKj9erUmQiSnHPyc5Ig_4_8"/>
      <w:bookmarkStart w:id="198" w:name="Tc_EvUZ02mCWU-BWMcN8XrqXA_4_5"/>
      <w:bookmarkStart w:id="199" w:name="Tc__sAPOmGJB0OQoK33czOl0w_4_2"/>
      <w:bookmarkStart w:id="200" w:name="Tc_UacdOxfv_0O5vXigl4Z_Dg_4_0"/>
      <w:bookmarkStart w:id="201" w:name="Tc_pZtGRDWM5EW1mWLpVhv0kA_3_11"/>
      <w:bookmarkStart w:id="202" w:name="Tc_t16w86mcLUaWhUS1ECDskg_3_8"/>
      <w:bookmarkStart w:id="203" w:name="Tc_7f9V6OvepE65jZBoioI5cw_3_5"/>
      <w:bookmarkStart w:id="204" w:name="Tc_7NXWt2aaQ0OSvPSG4Z7JXA_3_2"/>
      <w:bookmarkStart w:id="205" w:name="Tc_C4XfTSqhK0ea4AhKzJoP7g_2_11"/>
      <w:bookmarkStart w:id="206" w:name="Tc_TFS5aRGtXk6rpqc44ZZmcg_2_8"/>
      <w:bookmarkStart w:id="207" w:name="Tc_6oFW_oed0E-CrZMETW2D2g_2_5"/>
      <w:bookmarkStart w:id="208" w:name="Tc_em5Ha0VnRk6GCl6Z1POsmg_2_2"/>
      <w:bookmarkStart w:id="209" w:name="Tc_y_SoJLvQGU24Q3UX1NeE1g_1_8"/>
      <w:bookmarkStart w:id="210" w:name="Tc_o8D4TVSDVkmvsGisgvRHNw_1_2"/>
      <w:bookmarkStart w:id="211" w:name="_213b7fdd_fe7e_452c_91bf_180f3b68b55a"/>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W w:w="10205" w:type="dxa"/>
        <w:jc w:val="left"/>
        <w:tblInd w:w="0" w:type="dxa"/>
        <w:tblLayout w:type="fixed"/>
        <w:tblCellMar>
          <w:top w:w="0" w:type="dxa"/>
          <w:left w:w="0" w:type="dxa"/>
          <w:bottom w:w="0" w:type="dxa"/>
          <w:right w:w="0" w:type="dxa"/>
        </w:tblCellMar>
      </w:tblPr>
      <w:tblGrid>
        <w:gridCol w:w="5465"/>
        <w:gridCol w:w="109"/>
        <w:gridCol w:w="196"/>
        <w:gridCol w:w="691"/>
        <w:gridCol w:w="346"/>
        <w:gridCol w:w="196"/>
        <w:gridCol w:w="630"/>
        <w:gridCol w:w="346"/>
        <w:gridCol w:w="196"/>
        <w:gridCol w:w="691"/>
        <w:gridCol w:w="346"/>
        <w:gridCol w:w="196"/>
        <w:gridCol w:w="797"/>
      </w:tblGrid>
      <w:tr>
        <w:trPr/>
        <w:tc>
          <w:tcPr>
            <w:tcW w:w="5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5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2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5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5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translation gain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59,589</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on commodity hedges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loss (gain) on commodity hedges included in net earnings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cross currency swaps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(6,306)</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cost included in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hedging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(5,176)</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adjustment for pension costs included in net earnings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55,107</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116,864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231,526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138,479</w:t>
            </w:r>
          </w:p>
        </w:tc>
      </w:tr>
      <w:tr>
        <w:trPr/>
        <w:tc>
          <w:tcPr>
            <w:tcW w:w="54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attributable to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137,492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212" w:name="CONDENSEDCONSOLIDATEDBALANCESHEETS"/>
      <w:bookmarkStart w:id="213" w:name="_1e5cdc77_56bc_432e_90b7_fbda9afa6265"/>
      <w:bookmarkEnd w:id="212"/>
      <w:bookmarkEnd w:id="213"/>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par value)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14" w:name="Tc_gq-KA75No0qA0f4kM8xwDQ_49_5"/>
      <w:bookmarkStart w:id="215" w:name="Tc_yaCr_vAyPEGbRF5MVQARGA_49_2"/>
      <w:bookmarkStart w:id="216" w:name="Tc_YMYZq62ucUaAPzLpc7F7iA_49_0"/>
      <w:bookmarkStart w:id="217" w:name="Tc_0VxqVUahXU2CbDy9_fU7EA_48_0"/>
      <w:bookmarkStart w:id="218" w:name="Tc_DpAMr9aSFk-JxNIC7NY9gw_47_0"/>
      <w:bookmarkStart w:id="219" w:name="Tc_YiTOA-Y6KkqBSDpml1YFhA_46_0"/>
      <w:bookmarkStart w:id="220" w:name="Tc_z0UDxMbZZ0apme2H67guTA_45_0"/>
      <w:bookmarkStart w:id="221" w:name="Tc_RJ6eWeYL9Ei_nZFA4dDcnA_44_0"/>
      <w:bookmarkStart w:id="222" w:name="Tc_CVWwBhaLkkCr_jmVjIaYIg_43_0"/>
      <w:bookmarkStart w:id="223" w:name="Tc_F6odG4krwUujo3DMDsX4uA_42_0"/>
      <w:bookmarkStart w:id="224" w:name="Tc_NKq_LG65UkWvMOj5XpS5-g_41_0"/>
      <w:bookmarkStart w:id="225" w:name="Tc_mia0Kf-CW0mzEwWk0oaGOA_40_0"/>
      <w:bookmarkStart w:id="226" w:name="Tc_C0qFMcHNr0yjlcYehkV-HA_39_0"/>
      <w:bookmarkStart w:id="227" w:name="Tc_jvaot1Hv_U6FCTZcTQ_SkA_38_0"/>
      <w:bookmarkStart w:id="228" w:name="Tc_yvJIq6DUvEG8OxpABfVFSg_37_0"/>
      <w:bookmarkStart w:id="229" w:name="Tc_Xk6ic9snQke8zcFClm4-zw_36_0"/>
      <w:bookmarkStart w:id="230" w:name="Tc_MTCLmdpB70K0Qz3nQiGicA_35_0"/>
      <w:bookmarkStart w:id="231" w:name="Tc_OpVwFdAKpkiZ2v1a7CWVTw_34_0"/>
      <w:bookmarkStart w:id="232" w:name="Tc_mcBSzJyp7UGiWU3Aq5QPvw_33_0"/>
      <w:bookmarkStart w:id="233" w:name="Tc_dE4QrkAMiES2LjlxsRGwzQ_32_0"/>
      <w:bookmarkStart w:id="234" w:name="Tc_OOhIn-g3pUevbshLw93ONg_31_0"/>
      <w:bookmarkStart w:id="235" w:name="Tc_hJyNgCzFTUuiN-eOA6PV7A_30_0"/>
      <w:bookmarkStart w:id="236" w:name="Tc_FKsGjfdudES9XKJRXvK9RQ_29_0"/>
      <w:bookmarkStart w:id="237" w:name="Tc_l-2zN-qofkma31FHrwJYeg_28_3"/>
      <w:bookmarkStart w:id="238" w:name="Tc_wWMO5-LNVEif9AmTHdmRwg_28_0"/>
      <w:bookmarkStart w:id="239" w:name="Tc_Uz_VXFivaUaXd0JuHeWRbQ_27_5"/>
      <w:bookmarkStart w:id="240" w:name="Tc_XJUvDTkxdE2kVoHWLf_aog_27_2"/>
      <w:bookmarkStart w:id="241" w:name="Tc_ChQ3M2smpk6aLITEqErvog_27_0"/>
      <w:bookmarkStart w:id="242" w:name="Tc_7YvzD_HgiUuLL3PDxRTQng_26_0"/>
      <w:bookmarkStart w:id="243" w:name="Tc_bGfeBBDTAU2mXaGlOpT4Hg_25_0"/>
      <w:bookmarkStart w:id="244" w:name="Tc_IskRKj96LUWpKNcGL2ou6A_23_5"/>
      <w:bookmarkStart w:id="245" w:name="Tc_Wx1Tvri3lkWn1buX-BZPGA_23_2"/>
      <w:bookmarkStart w:id="246" w:name="Tc_3g1eRm-HMkeEwtlKIt-swQ_23_0"/>
      <w:bookmarkStart w:id="247" w:name="Tc_IZmfbEfFckiPfdvX1ocunA_22_6"/>
      <w:bookmarkStart w:id="248" w:name="Tc_MvThJ3bZY0qVobOK5yG7PQ_22_0"/>
      <w:bookmarkStart w:id="249" w:name="Tc_7jKdkB-GmEK2FLNuTQjxIg_21_0"/>
      <w:bookmarkStart w:id="250" w:name="Tc_c1xYEgcXE069w_IhRmiiMQ_20_0"/>
      <w:bookmarkStart w:id="251" w:name="Tc_xdVG0hPF1kGso2cWadDUqA_19_0"/>
      <w:bookmarkStart w:id="252" w:name="Tc_4u0HiCUUh0ydDK0bZX7oqA_18_0"/>
      <w:bookmarkStart w:id="253" w:name="Tc_lSjB9KHo0UOjC9b4xpf1og_17_0"/>
      <w:bookmarkStart w:id="254" w:name="Tc_vkXfDJPTcUuZRN4KSZx3hQ_16_0"/>
      <w:bookmarkStart w:id="255" w:name="Tc_MKmZJh-lI0WIKd8bkPvFhg_15_0"/>
      <w:bookmarkStart w:id="256" w:name="Tc_JOzPvkSinUCQSYxhcqLJnQ_14_0"/>
      <w:bookmarkStart w:id="257" w:name="Tc_gu91qiAx1UOBizEUm05MKw_13_0"/>
      <w:bookmarkStart w:id="258" w:name="Tc_KGAuaEmBKUeaWRGG4iAlHw_12_0"/>
      <w:bookmarkStart w:id="259" w:name="Tc_Mwvz-nzu-UK13eMAnndmHA_11_0"/>
      <w:bookmarkStart w:id="260" w:name="Tc_EVDrgrrW8EKqwGvPKxd8uQ_10_0"/>
      <w:bookmarkStart w:id="261" w:name="Tc_N1xy9Bgc00eeTsGtQe0m7Q_9_0"/>
      <w:bookmarkStart w:id="262" w:name="Tc_0OwFIqc6-Ea4oHH-0ybqBw_8_0"/>
      <w:bookmarkStart w:id="263" w:name="Tc_LpspimaBaEGmyoNZK5m2dQ_7_0"/>
      <w:bookmarkStart w:id="264" w:name="Tc_HyBek-DL0kixzH3K6Mxk4Q_6_0"/>
      <w:bookmarkStart w:id="265" w:name="Tc_496Ys6eEZk-j3Bb9UgVL8Q_5_5"/>
      <w:bookmarkStart w:id="266" w:name="Tc_WlD51iPcJUWg957DXMB8nw_5_2"/>
      <w:bookmarkStart w:id="267" w:name="Tc_aslGct2NCUS9AnHBu0JEvw_5_0"/>
      <w:bookmarkStart w:id="268" w:name="Tc_q-Py4-JTs0mS4pDyQwPI-w_4_0"/>
      <w:bookmarkStart w:id="269" w:name="Tc_gUEVbCSwPEeezzcW95tpZw_3_0"/>
      <w:bookmarkStart w:id="270" w:name="Tc_30EpRIAAdESxxlrjbzddkw_2_5"/>
      <w:bookmarkStart w:id="271" w:name="Tc_nDbzHn-3RUuL_iSzPfsYyQ_2_2"/>
      <w:bookmarkStart w:id="272" w:name="Tc_QDvA_tJFGkukOOKXwYC8Iw_1_5"/>
      <w:bookmarkStart w:id="273" w:name="Tc_4RCp8qo1AECK_PBjNbViZg_1_2"/>
      <w:bookmarkStart w:id="274" w:name="_93406b59_0a57_4a58_947f_423d719652e9"/>
      <w:bookmarkStart w:id="275" w:name="Tc_gq-KA75No0qA0f4kM8xwDQ_49_5"/>
      <w:bookmarkStart w:id="276" w:name="Tc_yaCr_vAyPEGbRF5MVQARGA_49_2"/>
      <w:bookmarkStart w:id="277" w:name="Tc_YMYZq62ucUaAPzLpc7F7iA_49_0"/>
      <w:bookmarkStart w:id="278" w:name="Tc_0VxqVUahXU2CbDy9_fU7EA_48_0"/>
      <w:bookmarkStart w:id="279" w:name="Tc_DpAMr9aSFk-JxNIC7NY9gw_47_0"/>
      <w:bookmarkStart w:id="280" w:name="Tc_YiTOA-Y6KkqBSDpml1YFhA_46_0"/>
      <w:bookmarkStart w:id="281" w:name="Tc_z0UDxMbZZ0apme2H67guTA_45_0"/>
      <w:bookmarkStart w:id="282" w:name="Tc_RJ6eWeYL9Ei_nZFA4dDcnA_44_0"/>
      <w:bookmarkStart w:id="283" w:name="Tc_CVWwBhaLkkCr_jmVjIaYIg_43_0"/>
      <w:bookmarkStart w:id="284" w:name="Tc_F6odG4krwUujo3DMDsX4uA_42_0"/>
      <w:bookmarkStart w:id="285" w:name="Tc_NKq_LG65UkWvMOj5XpS5-g_41_0"/>
      <w:bookmarkStart w:id="286" w:name="Tc_mia0Kf-CW0mzEwWk0oaGOA_40_0"/>
      <w:bookmarkStart w:id="287" w:name="Tc_C0qFMcHNr0yjlcYehkV-HA_39_0"/>
      <w:bookmarkStart w:id="288" w:name="Tc_jvaot1Hv_U6FCTZcTQ_SkA_38_0"/>
      <w:bookmarkStart w:id="289" w:name="Tc_yvJIq6DUvEG8OxpABfVFSg_37_0"/>
      <w:bookmarkStart w:id="290" w:name="Tc_Xk6ic9snQke8zcFClm4-zw_36_0"/>
      <w:bookmarkStart w:id="291" w:name="Tc_MTCLmdpB70K0Qz3nQiGicA_35_0"/>
      <w:bookmarkStart w:id="292" w:name="Tc_OpVwFdAKpkiZ2v1a7CWVTw_34_0"/>
      <w:bookmarkStart w:id="293" w:name="Tc_mcBSzJyp7UGiWU3Aq5QPvw_33_0"/>
      <w:bookmarkStart w:id="294" w:name="Tc_dE4QrkAMiES2LjlxsRGwzQ_32_0"/>
      <w:bookmarkStart w:id="295" w:name="Tc_OOhIn-g3pUevbshLw93ONg_31_0"/>
      <w:bookmarkStart w:id="296" w:name="Tc_hJyNgCzFTUuiN-eOA6PV7A_30_0"/>
      <w:bookmarkStart w:id="297" w:name="Tc_FKsGjfdudES9XKJRXvK9RQ_29_0"/>
      <w:bookmarkStart w:id="298" w:name="Tc_l-2zN-qofkma31FHrwJYeg_28_3"/>
      <w:bookmarkStart w:id="299" w:name="Tc_wWMO5-LNVEif9AmTHdmRwg_28_0"/>
      <w:bookmarkStart w:id="300" w:name="Tc_Uz_VXFivaUaXd0JuHeWRbQ_27_5"/>
      <w:bookmarkStart w:id="301" w:name="Tc_XJUvDTkxdE2kVoHWLf_aog_27_2"/>
      <w:bookmarkStart w:id="302" w:name="Tc_ChQ3M2smpk6aLITEqErvog_27_0"/>
      <w:bookmarkStart w:id="303" w:name="Tc_7YvzD_HgiUuLL3PDxRTQng_26_0"/>
      <w:bookmarkStart w:id="304" w:name="Tc_bGfeBBDTAU2mXaGlOpT4Hg_25_0"/>
      <w:bookmarkStart w:id="305" w:name="Tc_IskRKj96LUWpKNcGL2ou6A_23_5"/>
      <w:bookmarkStart w:id="306" w:name="Tc_Wx1Tvri3lkWn1buX-BZPGA_23_2"/>
      <w:bookmarkStart w:id="307" w:name="Tc_3g1eRm-HMkeEwtlKIt-swQ_23_0"/>
      <w:bookmarkStart w:id="308" w:name="Tc_IZmfbEfFckiPfdvX1ocunA_22_6"/>
      <w:bookmarkStart w:id="309" w:name="Tc_MvThJ3bZY0qVobOK5yG7PQ_22_0"/>
      <w:bookmarkStart w:id="310" w:name="Tc_7jKdkB-GmEK2FLNuTQjxIg_21_0"/>
      <w:bookmarkStart w:id="311" w:name="Tc_c1xYEgcXE069w_IhRmiiMQ_20_0"/>
      <w:bookmarkStart w:id="312" w:name="Tc_xdVG0hPF1kGso2cWadDUqA_19_0"/>
      <w:bookmarkStart w:id="313" w:name="Tc_4u0HiCUUh0ydDK0bZX7oqA_18_0"/>
      <w:bookmarkStart w:id="314" w:name="Tc_lSjB9KHo0UOjC9b4xpf1og_17_0"/>
      <w:bookmarkStart w:id="315" w:name="Tc_vkXfDJPTcUuZRN4KSZx3hQ_16_0"/>
      <w:bookmarkStart w:id="316" w:name="Tc_MKmZJh-lI0WIKd8bkPvFhg_15_0"/>
      <w:bookmarkStart w:id="317" w:name="Tc_JOzPvkSinUCQSYxhcqLJnQ_14_0"/>
      <w:bookmarkStart w:id="318" w:name="Tc_gu91qiAx1UOBizEUm05MKw_13_0"/>
      <w:bookmarkStart w:id="319" w:name="Tc_KGAuaEmBKUeaWRGG4iAlHw_12_0"/>
      <w:bookmarkStart w:id="320" w:name="Tc_Mwvz-nzu-UK13eMAnndmHA_11_0"/>
      <w:bookmarkStart w:id="321" w:name="Tc_EVDrgrrW8EKqwGvPKxd8uQ_10_0"/>
      <w:bookmarkStart w:id="322" w:name="Tc_N1xy9Bgc00eeTsGtQe0m7Q_9_0"/>
      <w:bookmarkStart w:id="323" w:name="Tc_0OwFIqc6-Ea4oHH-0ybqBw_8_0"/>
      <w:bookmarkStart w:id="324" w:name="Tc_LpspimaBaEGmyoNZK5m2dQ_7_0"/>
      <w:bookmarkStart w:id="325" w:name="Tc_HyBek-DL0kixzH3K6Mxk4Q_6_0"/>
      <w:bookmarkStart w:id="326" w:name="Tc_496Ys6eEZk-j3Bb9UgVL8Q_5_5"/>
      <w:bookmarkStart w:id="327" w:name="Tc_WlD51iPcJUWg957DXMB8nw_5_2"/>
      <w:bookmarkStart w:id="328" w:name="Tc_aslGct2NCUS9AnHBu0JEvw_5_0"/>
      <w:bookmarkStart w:id="329" w:name="Tc_q-Py4-JTs0mS4pDyQwPI-w_4_0"/>
      <w:bookmarkStart w:id="330" w:name="Tc_gUEVbCSwPEeezzcW95tpZw_3_0"/>
      <w:bookmarkStart w:id="331" w:name="Tc_30EpRIAAdESxxlrjbzddkw_2_5"/>
      <w:bookmarkStart w:id="332" w:name="Tc_nDbzHn-3RUuL_iSzPfsYyQ_2_2"/>
      <w:bookmarkStart w:id="333" w:name="Tc_QDvA_tJFGkukOOKXwYC8Iw_1_5"/>
      <w:bookmarkStart w:id="334" w:name="Tc_4RCp8qo1AECK_PBjNbViZg_1_2"/>
      <w:bookmarkStart w:id="335" w:name="_93406b59_0a57_4a58_947f_423d719652e9"/>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9397" w:type="dxa"/>
        <w:jc w:val="left"/>
        <w:tblInd w:w="0" w:type="dxa"/>
        <w:tblLayout w:type="fixed"/>
        <w:tblCellMar>
          <w:top w:w="0" w:type="dxa"/>
          <w:left w:w="0" w:type="dxa"/>
          <w:bottom w:w="0" w:type="dxa"/>
          <w:right w:w="0" w:type="dxa"/>
        </w:tblCellMar>
      </w:tblPr>
      <w:tblGrid>
        <w:gridCol w:w="6376"/>
        <w:gridCol w:w="346"/>
        <w:gridCol w:w="196"/>
        <w:gridCol w:w="946"/>
        <w:gridCol w:w="346"/>
        <w:gridCol w:w="196"/>
        <w:gridCol w:w="991"/>
      </w:tblGrid>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139,051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less allowance of $50,634 and $54,991,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648,703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590,127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608,842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566,396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272,731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266,922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70,698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1,782,453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1,719,648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at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1,658,935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1,640,608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(966,745)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693,183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673,863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584,126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570,954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116,772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121,341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Defined benefit pension asset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153,648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139,857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deferred tax asset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57,751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assets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42424"/>
                <w:sz w:val="18"/>
              </w:rPr>
            </w:pPr>
            <w:r>
              <w:rPr>
                <w:rFonts w:ascii="Times New Roman;Times;serif" w:hAnsi="Times New Roman;Times;serif"/>
                <w:color w:val="242424"/>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3,465,705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3,369,329</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NONCONTROLLING INTERESTS,</w:t>
              <w:br/>
              <w:t>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installments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387,899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359,539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employee compensation and benefits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128,155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Contract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139,587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156,596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payable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757,346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731,620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35,320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1,727,044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of $1 par value, authorized 75,000,000 shares; issued 27,900,000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3,351,715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3,156,235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(290,515)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(1,365,872)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(1,260,833)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1,726,753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1,632,787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336" w:name="CONDENSEDCONSOLIDATEDSTATEMENTSOFCASHFLO"/>
      <w:bookmarkStart w:id="337" w:name="_5b79a5e1_1015_4cd6_8adb_030b21ed37d8"/>
      <w:bookmarkEnd w:id="336"/>
      <w:bookmarkEnd w:id="337"/>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338" w:name="Tc_ZsLL91S3jkKJ4EJehNQyZg_54_0"/>
      <w:bookmarkStart w:id="339" w:name="Tc_H6yzK9Lnfk2aWPhKYzEUQQ_53_5"/>
      <w:bookmarkStart w:id="340" w:name="Tc_iDP9O-wwu0CW5-Va6aoTEA_53_2"/>
      <w:bookmarkStart w:id="341" w:name="Tc_QIeDeK5VWkiuTCxeB5Mtag_53_0"/>
      <w:bookmarkStart w:id="342" w:name="Tc_StaCSbb0Sk64vJMy1Q4ouA_52_0"/>
      <w:bookmarkStart w:id="343" w:name="Tc_pDvqHmoOL0Czl2UiNh-9Aw_50_5"/>
      <w:bookmarkStart w:id="344" w:name="Tc_iOhKkVz_70y3Z9esf8E4Zg_50_2"/>
      <w:bookmarkStart w:id="345" w:name="Tc_9PUHiA5_NE2hQUw2LPP9ew_50_0"/>
      <w:bookmarkStart w:id="346" w:name="Tc_0QAUXPZkFEiVy7AGpwUNug_49_0"/>
      <w:bookmarkStart w:id="347" w:name="Tc_iSqt3hFcekCWswjtPm1QPQ_48_0"/>
      <w:bookmarkStart w:id="348" w:name="Tc_MH7Kq_RX_UKg-hmiAREG5g_47_0"/>
      <w:bookmarkStart w:id="349" w:name="Tc_QXEu0nzsGU-ZuAekuN52TA_46_0"/>
      <w:bookmarkStart w:id="350" w:name="Tc_bEBCpkTG0kqwr9oEf4BIGw_45_3"/>
      <w:bookmarkStart w:id="351" w:name="Tc_pWxJa7t-1kaeDhWtIxb7_w_45_0"/>
      <w:bookmarkStart w:id="352" w:name="Tc_o650kD6MaUyUd-P43o8lZQ_44_0"/>
      <w:bookmarkStart w:id="353" w:name="Tc_7MI8sYPcJUWoSJZfASY0aw_43_0"/>
      <w:bookmarkStart w:id="354" w:name="Tc_8VH55mxgmU-iNwoefR0YYw_42_6"/>
      <w:bookmarkStart w:id="355" w:name="Tc_sanfkqbSLkGW0-zT51Rn2g_42_0"/>
      <w:bookmarkStart w:id="356" w:name="Tc_BAk7tsS3CEudB83YLsYXRg_41_0"/>
      <w:bookmarkStart w:id="357" w:name="Tc_ItDUbuCQwkK4xBHCdY6pJg_40_6"/>
      <w:bookmarkStart w:id="358" w:name="Tc_IpJywh1UjkqYwEwPBSA8lA_40_0"/>
      <w:bookmarkStart w:id="359" w:name="Tc_X-cy6O_RnUafA88aN99v1A_39_0"/>
      <w:bookmarkStart w:id="360" w:name="Tc_ZiB4L2xoTE6a4heRaEgpSg_38_0"/>
      <w:bookmarkStart w:id="361" w:name="Tc_n6otecaQd0i838SU1c3cLw_37_0"/>
      <w:bookmarkStart w:id="362" w:name="Tc_vo-RMh8zfUyxsR1nDCLTRQ_36_0"/>
      <w:bookmarkStart w:id="363" w:name="Tc_4QPOMOMeS0Ovv0u9Poo3DA_35_3"/>
      <w:bookmarkStart w:id="364" w:name="Tc_WUoOPXucqEWkmoeVZB9n0w_35_0"/>
      <w:bookmarkStart w:id="365" w:name="Tc_-IQulczGHESYqlxgndaNZw_34_3"/>
      <w:bookmarkStart w:id="366" w:name="Tc_Fu_YEvfxcE-wI3SIIYt8LA_34_0"/>
      <w:bookmarkStart w:id="367" w:name="Tc_je3XI7YGZkCUCOYbunbH9A_33_0"/>
      <w:bookmarkStart w:id="368" w:name="Tc_O1C-Ta4aI0e78Wm6lxsw5g_32_0"/>
      <w:bookmarkStart w:id="369" w:name="Tc_eOcqoOjfo0Wff5lxpdgOcA_31_0"/>
      <w:bookmarkStart w:id="370" w:name="Tc_6ByVoIh0dU6hnNla8D3FeQ_30_6"/>
      <w:bookmarkStart w:id="371" w:name="Tc_FX-8AjJVi0S0H9kObvZvGw_30_0"/>
      <w:bookmarkStart w:id="372" w:name="Tc_uNrN6uPYpUm00izmK-cYYA_29_0"/>
      <w:bookmarkStart w:id="373" w:name="Tc_KsDzYlEv5EOalOyIg-dgEw_28_6"/>
      <w:bookmarkStart w:id="374" w:name="Tc_K7KW7kaBak-imB8C4JgoZw_28_0"/>
      <w:bookmarkStart w:id="375" w:name="Tc_TC_JoX5IQ02NE-Nkd4f8kw_27_0"/>
      <w:bookmarkStart w:id="376" w:name="Tc_U_piTkWn2kWAzIgrgleKLQ_26_0"/>
      <w:bookmarkStart w:id="377" w:name="Tc_mZqLJ-pbxUKytfjKF7fP0w_25_0"/>
      <w:bookmarkStart w:id="378" w:name="Tc_af3WltM-ZkSyB833NZZGPw_24_0"/>
      <w:bookmarkStart w:id="379" w:name="Tc_eWXMY6dZck2mmeBdL00zFQ_23_0"/>
      <w:bookmarkStart w:id="380" w:name="Tc_0h7s-P8cCEmxDLe77pDufA_22_0"/>
      <w:bookmarkStart w:id="381" w:name="Tc_Rz3UDaodNU2ilnMOrmNf4w_21_0"/>
      <w:bookmarkStart w:id="382" w:name="Tc_UKnEUofnJ0WX0OJlLQMyRg_20_0"/>
      <w:bookmarkStart w:id="383" w:name="Tc_Qc44l7MH9UeNhhi4nvAcmg_19_0"/>
      <w:bookmarkStart w:id="384" w:name="Tc_K9al0kzEY0CV4FXaHzC2dg_18_0"/>
      <w:bookmarkStart w:id="385" w:name="Tc_EmSoxTqIm0y0rrmrmlGSjA_17_0"/>
      <w:bookmarkStart w:id="386" w:name="Tc_auz_cRVETUyGvcPHFXv7Ww_16_0"/>
      <w:bookmarkStart w:id="387" w:name="Tc_mvbS-RdZ5EyJALlrDukkHA_15_0"/>
      <w:bookmarkStart w:id="388" w:name="Tc_d94FmBxHukezW_1ZwXnC-A_14_0"/>
      <w:bookmarkStart w:id="389" w:name="Tc_6Akr7gFDlkG4xk4Dw8nUHg_13_0"/>
      <w:bookmarkStart w:id="390" w:name="Tc_gmyukdxT40K7FFcq0xmrog_12_0"/>
      <w:bookmarkStart w:id="391" w:name="Tc_rNNxf7bF60a7R5q4Np-n3g_11_0"/>
      <w:bookmarkStart w:id="392" w:name="Tc_9g10TZvKWkqWVgpwmwFvpg_10_0"/>
      <w:bookmarkStart w:id="393" w:name="Tc_ivX1ItplgUCOqjKubbXxMQ_9_0"/>
      <w:bookmarkStart w:id="394" w:name="Tc_0Fc3VAA2nEO5YV_rx8PKVw_8_0"/>
      <w:bookmarkStart w:id="395" w:name="Tc_zaAu_MCfSUad5t1RuaK7zw_7_0"/>
      <w:bookmarkStart w:id="396" w:name="Tc_OG51CRu0BEia69u_7haz-A_6_0"/>
      <w:bookmarkStart w:id="397" w:name="Tc_MxAzFIAQOEqoIJLyX1rViw_5_5"/>
      <w:bookmarkStart w:id="398" w:name="Tc_Cg2bgQSZgE6mJpnuObhfOw_5_2"/>
      <w:bookmarkStart w:id="399" w:name="Tc_fgPaIvGyK0aE57Ero3389A_5_0"/>
      <w:bookmarkStart w:id="400" w:name="Tc_5Ff1AbXHWkC_KRHuDxVAow_4_0"/>
      <w:bookmarkStart w:id="401" w:name="Tc_PIRxP_vRrESrO6LkVaW1Rw_3_5"/>
      <w:bookmarkStart w:id="402" w:name="Tc_LUiFHujg2Uin-cf0DEPSBw_3_2"/>
      <w:bookmarkStart w:id="403" w:name="Tc_Xy7YDyd8vEimmqQTnWjwKA_2_5"/>
      <w:bookmarkStart w:id="404" w:name="Tc_V_NhR6FOMkqAWjzbMr3_ew_2_2"/>
      <w:bookmarkStart w:id="405" w:name="Tc_lXEEPTtWkUKd0cPRsxOzpA_1_2"/>
      <w:bookmarkStart w:id="406" w:name="_f24a8da5_df71_41a6_a319_4fb1945efbc5"/>
      <w:bookmarkStart w:id="407" w:name="Tc_ZsLL91S3jkKJ4EJehNQyZg_54_0"/>
      <w:bookmarkStart w:id="408" w:name="Tc_H6yzK9Lnfk2aWPhKYzEUQQ_53_5"/>
      <w:bookmarkStart w:id="409" w:name="Tc_iDP9O-wwu0CW5-Va6aoTEA_53_2"/>
      <w:bookmarkStart w:id="410" w:name="Tc_QIeDeK5VWkiuTCxeB5Mtag_53_0"/>
      <w:bookmarkStart w:id="411" w:name="Tc_StaCSbb0Sk64vJMy1Q4ouA_52_0"/>
      <w:bookmarkStart w:id="412" w:name="Tc_pDvqHmoOL0Czl2UiNh-9Aw_50_5"/>
      <w:bookmarkStart w:id="413" w:name="Tc_iOhKkVz_70y3Z9esf8E4Zg_50_2"/>
      <w:bookmarkStart w:id="414" w:name="Tc_9PUHiA5_NE2hQUw2LPP9ew_50_0"/>
      <w:bookmarkStart w:id="415" w:name="Tc_0QAUXPZkFEiVy7AGpwUNug_49_0"/>
      <w:bookmarkStart w:id="416" w:name="Tc_iSqt3hFcekCWswjtPm1QPQ_48_0"/>
      <w:bookmarkStart w:id="417" w:name="Tc_MH7Kq_RX_UKg-hmiAREG5g_47_0"/>
      <w:bookmarkStart w:id="418" w:name="Tc_QXEu0nzsGU-ZuAekuN52TA_46_0"/>
      <w:bookmarkStart w:id="419" w:name="Tc_bEBCpkTG0kqwr9oEf4BIGw_45_3"/>
      <w:bookmarkStart w:id="420" w:name="Tc_pWxJa7t-1kaeDhWtIxb7_w_45_0"/>
      <w:bookmarkStart w:id="421" w:name="Tc_o650kD6MaUyUd-P43o8lZQ_44_0"/>
      <w:bookmarkStart w:id="422" w:name="Tc_7MI8sYPcJUWoSJZfASY0aw_43_0"/>
      <w:bookmarkStart w:id="423" w:name="Tc_8VH55mxgmU-iNwoefR0YYw_42_6"/>
      <w:bookmarkStart w:id="424" w:name="Tc_sanfkqbSLkGW0-zT51Rn2g_42_0"/>
      <w:bookmarkStart w:id="425" w:name="Tc_BAk7tsS3CEudB83YLsYXRg_41_0"/>
      <w:bookmarkStart w:id="426" w:name="Tc_ItDUbuCQwkK4xBHCdY6pJg_40_6"/>
      <w:bookmarkStart w:id="427" w:name="Tc_IpJywh1UjkqYwEwPBSA8lA_40_0"/>
      <w:bookmarkStart w:id="428" w:name="Tc_X-cy6O_RnUafA88aN99v1A_39_0"/>
      <w:bookmarkStart w:id="429" w:name="Tc_ZiB4L2xoTE6a4heRaEgpSg_38_0"/>
      <w:bookmarkStart w:id="430" w:name="Tc_n6otecaQd0i838SU1c3cLw_37_0"/>
      <w:bookmarkStart w:id="431" w:name="Tc_vo-RMh8zfUyxsR1nDCLTRQ_36_0"/>
      <w:bookmarkStart w:id="432" w:name="Tc_4QPOMOMeS0Ovv0u9Poo3DA_35_3"/>
      <w:bookmarkStart w:id="433" w:name="Tc_WUoOPXucqEWkmoeVZB9n0w_35_0"/>
      <w:bookmarkStart w:id="434" w:name="Tc_-IQulczGHESYqlxgndaNZw_34_3"/>
      <w:bookmarkStart w:id="435" w:name="Tc_Fu_YEvfxcE-wI3SIIYt8LA_34_0"/>
      <w:bookmarkStart w:id="436" w:name="Tc_je3XI7YGZkCUCOYbunbH9A_33_0"/>
      <w:bookmarkStart w:id="437" w:name="Tc_O1C-Ta4aI0e78Wm6lxsw5g_32_0"/>
      <w:bookmarkStart w:id="438" w:name="Tc_eOcqoOjfo0Wff5lxpdgOcA_31_0"/>
      <w:bookmarkStart w:id="439" w:name="Tc_6ByVoIh0dU6hnNla8D3FeQ_30_6"/>
      <w:bookmarkStart w:id="440" w:name="Tc_FX-8AjJVi0S0H9kObvZvGw_30_0"/>
      <w:bookmarkStart w:id="441" w:name="Tc_uNrN6uPYpUm00izmK-cYYA_29_0"/>
      <w:bookmarkStart w:id="442" w:name="Tc_KsDzYlEv5EOalOyIg-dgEw_28_6"/>
      <w:bookmarkStart w:id="443" w:name="Tc_K7KW7kaBak-imB8C4JgoZw_28_0"/>
      <w:bookmarkStart w:id="444" w:name="Tc_TC_JoX5IQ02NE-Nkd4f8kw_27_0"/>
      <w:bookmarkStart w:id="445" w:name="Tc_U_piTkWn2kWAzIgrgleKLQ_26_0"/>
      <w:bookmarkStart w:id="446" w:name="Tc_mZqLJ-pbxUKytfjKF7fP0w_25_0"/>
      <w:bookmarkStart w:id="447" w:name="Tc_af3WltM-ZkSyB833NZZGPw_24_0"/>
      <w:bookmarkStart w:id="448" w:name="Tc_eWXMY6dZck2mmeBdL00zFQ_23_0"/>
      <w:bookmarkStart w:id="449" w:name="Tc_0h7s-P8cCEmxDLe77pDufA_22_0"/>
      <w:bookmarkStart w:id="450" w:name="Tc_Rz3UDaodNU2ilnMOrmNf4w_21_0"/>
      <w:bookmarkStart w:id="451" w:name="Tc_UKnEUofnJ0WX0OJlLQMyRg_20_0"/>
      <w:bookmarkStart w:id="452" w:name="Tc_Qc44l7MH9UeNhhi4nvAcmg_19_0"/>
      <w:bookmarkStart w:id="453" w:name="Tc_K9al0kzEY0CV4FXaHzC2dg_18_0"/>
      <w:bookmarkStart w:id="454" w:name="Tc_EmSoxTqIm0y0rrmrmlGSjA_17_0"/>
      <w:bookmarkStart w:id="455" w:name="Tc_auz_cRVETUyGvcPHFXv7Ww_16_0"/>
      <w:bookmarkStart w:id="456" w:name="Tc_mvbS-RdZ5EyJALlrDukkHA_15_0"/>
      <w:bookmarkStart w:id="457" w:name="Tc_d94FmBxHukezW_1ZwXnC-A_14_0"/>
      <w:bookmarkStart w:id="458" w:name="Tc_6Akr7gFDlkG4xk4Dw8nUHg_13_0"/>
      <w:bookmarkStart w:id="459" w:name="Tc_gmyukdxT40K7FFcq0xmrog_12_0"/>
      <w:bookmarkStart w:id="460" w:name="Tc_rNNxf7bF60a7R5q4Np-n3g_11_0"/>
      <w:bookmarkStart w:id="461" w:name="Tc_9g10TZvKWkqWVgpwmwFvpg_10_0"/>
      <w:bookmarkStart w:id="462" w:name="Tc_ivX1ItplgUCOqjKubbXxMQ_9_0"/>
      <w:bookmarkStart w:id="463" w:name="Tc_0Fc3VAA2nEO5YV_rx8PKVw_8_0"/>
      <w:bookmarkStart w:id="464" w:name="Tc_zaAu_MCfSUad5t1RuaK7zw_7_0"/>
      <w:bookmarkStart w:id="465" w:name="Tc_OG51CRu0BEia69u_7haz-A_6_0"/>
      <w:bookmarkStart w:id="466" w:name="Tc_MxAzFIAQOEqoIJLyX1rViw_5_5"/>
      <w:bookmarkStart w:id="467" w:name="Tc_Cg2bgQSZgE6mJpnuObhfOw_5_2"/>
      <w:bookmarkStart w:id="468" w:name="Tc_fgPaIvGyK0aE57Ero3389A_5_0"/>
      <w:bookmarkStart w:id="469" w:name="Tc_5Ff1AbXHWkC_KRHuDxVAow_4_0"/>
      <w:bookmarkStart w:id="470" w:name="Tc_PIRxP_vRrESrO6LkVaW1Rw_3_5"/>
      <w:bookmarkStart w:id="471" w:name="Tc_LUiFHujg2Uin-cf0DEPSBw_3_2"/>
      <w:bookmarkStart w:id="472" w:name="Tc_Xy7YDyd8vEimmqQTnWjwKA_2_5"/>
      <w:bookmarkStart w:id="473" w:name="Tc_V_NhR6FOMkqAWjzbMr3_ew_2_2"/>
      <w:bookmarkStart w:id="474" w:name="Tc_lXEEPTtWkUKd0cPRsxOzpA_1_2"/>
      <w:bookmarkStart w:id="475" w:name="_f24a8da5_df71_41a6_a319_4fb1945efbc5"/>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tbl>
      <w:tblPr>
        <w:tblW w:w="8572" w:type="dxa"/>
        <w:jc w:val="left"/>
        <w:tblInd w:w="0" w:type="dxa"/>
        <w:tblLayout w:type="fixed"/>
        <w:tblCellMar>
          <w:top w:w="0" w:type="dxa"/>
          <w:left w:w="0" w:type="dxa"/>
          <w:bottom w:w="0" w:type="dxa"/>
          <w:right w:w="0" w:type="dxa"/>
        </w:tblCellMar>
      </w:tblPr>
      <w:tblGrid>
        <w:gridCol w:w="5821"/>
        <w:gridCol w:w="346"/>
        <w:gridCol w:w="196"/>
        <w:gridCol w:w="811"/>
        <w:gridCol w:w="346"/>
        <w:gridCol w:w="196"/>
        <w:gridCol w:w="856"/>
      </w:tblGrid>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earnings to 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43,781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13,377</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sale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(2,556)</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22,423</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(7,257)</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 (current and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9,909</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 (current and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(31,431)</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4,736</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232,739</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(62,306)</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property damage insurance claims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2,840</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on short-term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(4,492)</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130,000</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repayments on long-term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(130,358)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(25,667)</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to redeemable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redeemable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excise taxes on share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exercises under stock plans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withholdings on exercises under stock plans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(6,940)</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(223,716)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(131,223)</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44,218</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139,051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208,533</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19,631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55,494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bookmarkStart w:id="476" w:name="CONDENSEDCONSOLIDATEDSTATEMENTSOFSHAREHO"/>
      <w:bookmarkStart w:id="477" w:name="_d1c35d80_832e_4057_aa70_eb3ea20543a7"/>
      <w:bookmarkEnd w:id="476"/>
      <w:bookmarkEnd w:id="477"/>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AND REDEEMABLE NONCONTROLLING INTERESTS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478" w:name="Tc_ed6piLiLIkmcL1MhsgrxdQ_18_17"/>
      <w:bookmarkStart w:id="479" w:name="Tc_exx4jzg7U0SjEF2SUvjKnw_18_14"/>
      <w:bookmarkStart w:id="480" w:name="Tc_-FDiqehuqEekVVt4-SQeqw_18_11"/>
      <w:bookmarkStart w:id="481" w:name="Tc_AwdeA7CpPkiGJM33rxcYVw_18_8"/>
      <w:bookmarkStart w:id="482" w:name="Tc_tRfGwGdH6EytFDp3HbYEtQ_18_5"/>
      <w:bookmarkStart w:id="483" w:name="Tc_lXyImkrr20Gva3JnFgxTDA_18_2"/>
      <w:bookmarkStart w:id="484" w:name="Tc_d3WtmvPKXk2IeWBtBDXxlg_18_0"/>
      <w:bookmarkStart w:id="485" w:name="Tc_XIOUaDcdekahWzAmnPcmaA_17_18"/>
      <w:bookmarkStart w:id="486" w:name="Tc_U7ZdSuRRBECywMVV5-3AEA_17_9"/>
      <w:bookmarkStart w:id="487" w:name="Tc_ZRIhTxS660-hz9Ylwn55Gw_17_3"/>
      <w:bookmarkStart w:id="488" w:name="Tc_9jYIg23PPEm3wVz7y0PZ5Q_17_0"/>
      <w:bookmarkStart w:id="489" w:name="Tc_eidAqjLzRkSPuy1O2wOq7A_16_18"/>
      <w:bookmarkStart w:id="490" w:name="Tc_RF3CpLNKL0a5aHD3552ahg_16_9"/>
      <w:bookmarkStart w:id="491" w:name="Tc_kVyrRYA3UUaRXuB6-5oTAA_16_6"/>
      <w:bookmarkStart w:id="492" w:name="Tc_iefWA9lodU6eSyLpzgoSog_16_3"/>
      <w:bookmarkStart w:id="493" w:name="Tc_YBMMRLhuhkSpPw2LCRM84w_16_0"/>
      <w:bookmarkStart w:id="494" w:name="Tc__BPjjvhTHU-Ft2cuJTq9IQ_15_15"/>
      <w:bookmarkStart w:id="495" w:name="Tc_jjH_VTGYuU-0oHfKEbdDww_15_12"/>
      <w:bookmarkStart w:id="496" w:name="Tc_J-kNQLfnO0KJ8ZTt_qKr5w_15_9"/>
      <w:bookmarkStart w:id="497" w:name="Tc_N1pj4fiMckOOvbMhK-TGaA_15_6"/>
      <w:bookmarkStart w:id="498" w:name="Tc_wOd3XEHvjUCAu-hUaeu1Dg_15_3"/>
      <w:bookmarkStart w:id="499" w:name="Tc_ryu8WQ-Qq0KH5Pl-SOo9gQ_15_0"/>
      <w:bookmarkStart w:id="500" w:name="Tc_9JseQ9CUO02LW5Q67zqXiw_14_18"/>
      <w:bookmarkStart w:id="501" w:name="Tc_t1SyBERwokaQjaZ73QYtbw_14_12"/>
      <w:bookmarkStart w:id="502" w:name="Tc_ET8T-NlPSEOworgBWx11hg_14_9"/>
      <w:bookmarkStart w:id="503" w:name="Tc_KQAV3L-xg0CpCs57fqk7Ag_14_3"/>
      <w:bookmarkStart w:id="504" w:name="Tc_pSjDOzDfkEaVMlLtb20AfA_14_0"/>
      <w:bookmarkStart w:id="505" w:name="Tc_8NbLyZmwPEK8NpyGvQ8dBA_13_12"/>
      <w:bookmarkStart w:id="506" w:name="Tc_KydnAV7MT0SsKfQfl-yFIQ_13_6"/>
      <w:bookmarkStart w:id="507" w:name="Tc_RlhuPoK6RU230KRE1NgxEg_13_3"/>
      <w:bookmarkStart w:id="508" w:name="Tc_wo6R9M8Xy0qHW2YUL2SN_w_13_0"/>
      <w:bookmarkStart w:id="509" w:name="Tc_n5RqNvj2mEW6X_hlYimjDw_12_12"/>
      <w:bookmarkStart w:id="510" w:name="Tc_xrGC32Y1SkGiQmBPAObWfw_12_9"/>
      <w:bookmarkStart w:id="511" w:name="Tc_6OBWICv9hk6zTITAIJHKag_12_3"/>
      <w:bookmarkStart w:id="512" w:name="Tc_NcPVnPAtEUWSYlAQTupCwA_12_0"/>
      <w:bookmarkStart w:id="513" w:name="Tc_HRbaME4Lp0OFyOWi4KdxBg_11_17"/>
      <w:bookmarkStart w:id="514" w:name="Tc_6zYXnf6oM0aukCAR2-TXNQ_11_14"/>
      <w:bookmarkStart w:id="515" w:name="Tc_nkyHcBmgYkWJ9wjGn8rQkg_11_11"/>
      <w:bookmarkStart w:id="516" w:name="Tc_1cO8thWq9k291FWTrS-9dw_11_8"/>
      <w:bookmarkStart w:id="517" w:name="Tc_0PqJ32KT-EqC7-Docl-pMw_11_5"/>
      <w:bookmarkStart w:id="518" w:name="Tc_OJCexauHQ0a4qYb17Dwwrg_11_2"/>
      <w:bookmarkStart w:id="519" w:name="Tc_iH4qJqLNDkq6VjRXpAmeAA_11_0"/>
      <w:bookmarkStart w:id="520" w:name="Tc_9JFUIOUeQ0yZS293ct6K_Q_10_18"/>
      <w:bookmarkStart w:id="521" w:name="Tc_6kCwH5O5LkapyFTZiOuB7A_10_9"/>
      <w:bookmarkStart w:id="522" w:name="Tc_Q21cK2NGr0qAjx8a49Ukag_10_3"/>
      <w:bookmarkStart w:id="523" w:name="Tc_HytN8cgvYkm2yt2FoRXfYw_10_0"/>
      <w:bookmarkStart w:id="524" w:name="Tc_rHy7uNVKwECXMD7ZmzH-AQ_9_18"/>
      <w:bookmarkStart w:id="525" w:name="Tc_Ts6oI54-PkOmsG5Iij4NlA_9_9"/>
      <w:bookmarkStart w:id="526" w:name="Tc_tLi75gd9Q0Wv0t7OxUt6fA_9_6"/>
      <w:bookmarkStart w:id="527" w:name="Tc_hyvvBmSWIUqoWCXcZ0GNfw_9_3"/>
      <w:bookmarkStart w:id="528" w:name="Tc_OlchiIcLUEmKxGFREgC2Tg_9_0"/>
      <w:bookmarkStart w:id="529" w:name="Tc_QLg2Ip72T0mr-Ud3GOhBng_8_18"/>
      <w:bookmarkStart w:id="530" w:name="Tc_Z3XNWuYwUUq7sWydcq_hJw_8_12"/>
      <w:bookmarkStart w:id="531" w:name="Tc_XyPNiMzZok2eE-7gztoXGQ_8_9"/>
      <w:bookmarkStart w:id="532" w:name="Tc_tBa-AaD-OU6LNKqZZySsQg_8_3"/>
      <w:bookmarkStart w:id="533" w:name="Tc_IzGRO-XF2U6HTwEEncQvyA_8_0"/>
      <w:bookmarkStart w:id="534" w:name="Tc_5LNzkrf72kSi9i5YYCMf_Q_7_12"/>
      <w:bookmarkStart w:id="535" w:name="Tc_iHdLV_lFCUq1mfIvJTkJDw_7_6"/>
      <w:bookmarkStart w:id="536" w:name="Tc_s8vBjLyk406hDn3yO-yLvA_7_3"/>
      <w:bookmarkStart w:id="537" w:name="Tc_RUjs0yp0vkKuKBvCfI0OWw_7_0"/>
      <w:bookmarkStart w:id="538" w:name="Tc_8xz0geh78E2GMP9Q6m4gqQ_6_12"/>
      <w:bookmarkStart w:id="539" w:name="Tc_FOd1Lfxw4kyvbtBwK8FTPw_6_9"/>
      <w:bookmarkStart w:id="540" w:name="Tc_aAupTVsZYEeekVCVrhZldA_6_3"/>
      <w:bookmarkStart w:id="541" w:name="Tc_KTQ1mL8iIU-eL-QWvKFFDA_6_0"/>
      <w:bookmarkStart w:id="542" w:name="Tc_OPYGUzSLEECIKRjFpDrGfA_5_17"/>
      <w:bookmarkStart w:id="543" w:name="Tc_F2itk32F4UySYV4xkGxxWw_5_14"/>
      <w:bookmarkStart w:id="544" w:name="Tc_WGOtehg51U6zOjCy9opWNQ_5_11"/>
      <w:bookmarkStart w:id="545" w:name="Tc_P2vADZrFKkiUEi1MCNJq_w_5_8"/>
      <w:bookmarkStart w:id="546" w:name="Tc_KZXD5jjxakGiceZVvpUkbA_5_5"/>
      <w:bookmarkStart w:id="547" w:name="Tc_md8TXM66OE2i10CHwUJ43A_5_2"/>
      <w:bookmarkStart w:id="548" w:name="Tc_FAYiuG_C2EeRjm3aHFXlyg_5_0"/>
      <w:bookmarkStart w:id="549" w:name="Tc_mwPjQoFv9UGmqfPGTXt6aA_4_17"/>
      <w:bookmarkStart w:id="550" w:name="Tc_h5JjZcAAPkWBblQUIrdPUg_4_14"/>
      <w:bookmarkStart w:id="551" w:name="Tc_jUGZI0S1e0igglD_sJd3lg_4_11"/>
      <w:bookmarkStart w:id="552" w:name="Tc_lP8UGYhDw0ivPQRE9XOjXA_4_8"/>
      <w:bookmarkStart w:id="553" w:name="Tc_knPEEK9Ho0yPJwvRJGSMiw_4_5"/>
      <w:bookmarkStart w:id="554" w:name="Tc_qi-hi6wri0ur9TkpwxNE0Q_4_2"/>
      <w:bookmarkStart w:id="555" w:name="Tc_wW_5T721PUuBLvUDlO1wGg_3_17"/>
      <w:bookmarkStart w:id="556" w:name="Tc_1hzAJJigU06pS3qfvlwyuQ_3_14"/>
      <w:bookmarkStart w:id="557" w:name="Tc_ea8YA_Y2OEmNej1vfeRNUA_3_11"/>
      <w:bookmarkStart w:id="558" w:name="Tc_H1Okp4MyZEWYeo_i-qoT9w_3_8"/>
      <w:bookmarkStart w:id="559" w:name="Tc_HZGBTnzZBEy2jk5UZiKmyg_3_5"/>
      <w:bookmarkStart w:id="560" w:name="Tc_EKKu2MYrqk-OCiUXhWyXVA_3_2"/>
      <w:bookmarkStart w:id="561" w:name="Tc_QPptfJL0_UOtEwof8Huukw_2_17"/>
      <w:bookmarkStart w:id="562" w:name="Tc_SjOvAhyjWUuz2OQjkRbdjw_2_14"/>
      <w:bookmarkStart w:id="563" w:name="Tc_Pl8vE6qYJ0-eYHnouUlILw_2_8"/>
      <w:bookmarkStart w:id="564" w:name="Tc_ELCe28M2iUqsKIAzlrKMeg_1_8"/>
      <w:bookmarkStart w:id="565" w:name="_10accffa_0c1a_4081_a054_4ac113ba3512"/>
      <w:bookmarkStart w:id="566" w:name="Tc_ed6piLiLIkmcL1MhsgrxdQ_18_17"/>
      <w:bookmarkStart w:id="567" w:name="Tc_exx4jzg7U0SjEF2SUvjKnw_18_14"/>
      <w:bookmarkStart w:id="568" w:name="Tc_-FDiqehuqEekVVt4-SQeqw_18_11"/>
      <w:bookmarkStart w:id="569" w:name="Tc_AwdeA7CpPkiGJM33rxcYVw_18_8"/>
      <w:bookmarkStart w:id="570" w:name="Tc_tRfGwGdH6EytFDp3HbYEtQ_18_5"/>
      <w:bookmarkStart w:id="571" w:name="Tc_lXyImkrr20Gva3JnFgxTDA_18_2"/>
      <w:bookmarkStart w:id="572" w:name="Tc_d3WtmvPKXk2IeWBtBDXxlg_18_0"/>
      <w:bookmarkStart w:id="573" w:name="Tc_XIOUaDcdekahWzAmnPcmaA_17_18"/>
      <w:bookmarkStart w:id="574" w:name="Tc_U7ZdSuRRBECywMVV5-3AEA_17_9"/>
      <w:bookmarkStart w:id="575" w:name="Tc_ZRIhTxS660-hz9Ylwn55Gw_17_3"/>
      <w:bookmarkStart w:id="576" w:name="Tc_9jYIg23PPEm3wVz7y0PZ5Q_17_0"/>
      <w:bookmarkStart w:id="577" w:name="Tc_eidAqjLzRkSPuy1O2wOq7A_16_18"/>
      <w:bookmarkStart w:id="578" w:name="Tc_RF3CpLNKL0a5aHD3552ahg_16_9"/>
      <w:bookmarkStart w:id="579" w:name="Tc_kVyrRYA3UUaRXuB6-5oTAA_16_6"/>
      <w:bookmarkStart w:id="580" w:name="Tc_iefWA9lodU6eSyLpzgoSog_16_3"/>
      <w:bookmarkStart w:id="581" w:name="Tc_YBMMRLhuhkSpPw2LCRM84w_16_0"/>
      <w:bookmarkStart w:id="582" w:name="Tc__BPjjvhTHU-Ft2cuJTq9IQ_15_15"/>
      <w:bookmarkStart w:id="583" w:name="Tc_jjH_VTGYuU-0oHfKEbdDww_15_12"/>
      <w:bookmarkStart w:id="584" w:name="Tc_J-kNQLfnO0KJ8ZTt_qKr5w_15_9"/>
      <w:bookmarkStart w:id="585" w:name="Tc_N1pj4fiMckOOvbMhK-TGaA_15_6"/>
      <w:bookmarkStart w:id="586" w:name="Tc_wOd3XEHvjUCAu-hUaeu1Dg_15_3"/>
      <w:bookmarkStart w:id="587" w:name="Tc_ryu8WQ-Qq0KH5Pl-SOo9gQ_15_0"/>
      <w:bookmarkStart w:id="588" w:name="Tc_9JseQ9CUO02LW5Q67zqXiw_14_18"/>
      <w:bookmarkStart w:id="589" w:name="Tc_t1SyBERwokaQjaZ73QYtbw_14_12"/>
      <w:bookmarkStart w:id="590" w:name="Tc_ET8T-NlPSEOworgBWx11hg_14_9"/>
      <w:bookmarkStart w:id="591" w:name="Tc_KQAV3L-xg0CpCs57fqk7Ag_14_3"/>
      <w:bookmarkStart w:id="592" w:name="Tc_pSjDOzDfkEaVMlLtb20AfA_14_0"/>
      <w:bookmarkStart w:id="593" w:name="Tc_8NbLyZmwPEK8NpyGvQ8dBA_13_12"/>
      <w:bookmarkStart w:id="594" w:name="Tc_KydnAV7MT0SsKfQfl-yFIQ_13_6"/>
      <w:bookmarkStart w:id="595" w:name="Tc_RlhuPoK6RU230KRE1NgxEg_13_3"/>
      <w:bookmarkStart w:id="596" w:name="Tc_wo6R9M8Xy0qHW2YUL2SN_w_13_0"/>
      <w:bookmarkStart w:id="597" w:name="Tc_n5RqNvj2mEW6X_hlYimjDw_12_12"/>
      <w:bookmarkStart w:id="598" w:name="Tc_xrGC32Y1SkGiQmBPAObWfw_12_9"/>
      <w:bookmarkStart w:id="599" w:name="Tc_6OBWICv9hk6zTITAIJHKag_12_3"/>
      <w:bookmarkStart w:id="600" w:name="Tc_NcPVnPAtEUWSYlAQTupCwA_12_0"/>
      <w:bookmarkStart w:id="601" w:name="Tc_HRbaME4Lp0OFyOWi4KdxBg_11_17"/>
      <w:bookmarkStart w:id="602" w:name="Tc_6zYXnf6oM0aukCAR2-TXNQ_11_14"/>
      <w:bookmarkStart w:id="603" w:name="Tc_nkyHcBmgYkWJ9wjGn8rQkg_11_11"/>
      <w:bookmarkStart w:id="604" w:name="Tc_1cO8thWq9k291FWTrS-9dw_11_8"/>
      <w:bookmarkStart w:id="605" w:name="Tc_0PqJ32KT-EqC7-Docl-pMw_11_5"/>
      <w:bookmarkStart w:id="606" w:name="Tc_OJCexauHQ0a4qYb17Dwwrg_11_2"/>
      <w:bookmarkStart w:id="607" w:name="Tc_iH4qJqLNDkq6VjRXpAmeAA_11_0"/>
      <w:bookmarkStart w:id="608" w:name="Tc_9JFUIOUeQ0yZS293ct6K_Q_10_18"/>
      <w:bookmarkStart w:id="609" w:name="Tc_6kCwH5O5LkapyFTZiOuB7A_10_9"/>
      <w:bookmarkStart w:id="610" w:name="Tc_Q21cK2NGr0qAjx8a49Ukag_10_3"/>
      <w:bookmarkStart w:id="611" w:name="Tc_HytN8cgvYkm2yt2FoRXfYw_10_0"/>
      <w:bookmarkStart w:id="612" w:name="Tc_rHy7uNVKwECXMD7ZmzH-AQ_9_18"/>
      <w:bookmarkStart w:id="613" w:name="Tc_Ts6oI54-PkOmsG5Iij4NlA_9_9"/>
      <w:bookmarkStart w:id="614" w:name="Tc_tLi75gd9Q0Wv0t7OxUt6fA_9_6"/>
      <w:bookmarkStart w:id="615" w:name="Tc_hyvvBmSWIUqoWCXcZ0GNfw_9_3"/>
      <w:bookmarkStart w:id="616" w:name="Tc_OlchiIcLUEmKxGFREgC2Tg_9_0"/>
      <w:bookmarkStart w:id="617" w:name="Tc_QLg2Ip72T0mr-Ud3GOhBng_8_18"/>
      <w:bookmarkStart w:id="618" w:name="Tc_Z3XNWuYwUUq7sWydcq_hJw_8_12"/>
      <w:bookmarkStart w:id="619" w:name="Tc_XyPNiMzZok2eE-7gztoXGQ_8_9"/>
      <w:bookmarkStart w:id="620" w:name="Tc_tBa-AaD-OU6LNKqZZySsQg_8_3"/>
      <w:bookmarkStart w:id="621" w:name="Tc_IzGRO-XF2U6HTwEEncQvyA_8_0"/>
      <w:bookmarkStart w:id="622" w:name="Tc_5LNzkrf72kSi9i5YYCMf_Q_7_12"/>
      <w:bookmarkStart w:id="623" w:name="Tc_iHdLV_lFCUq1mfIvJTkJDw_7_6"/>
      <w:bookmarkStart w:id="624" w:name="Tc_s8vBjLyk406hDn3yO-yLvA_7_3"/>
      <w:bookmarkStart w:id="625" w:name="Tc_RUjs0yp0vkKuKBvCfI0OWw_7_0"/>
      <w:bookmarkStart w:id="626" w:name="Tc_8xz0geh78E2GMP9Q6m4gqQ_6_12"/>
      <w:bookmarkStart w:id="627" w:name="Tc_FOd1Lfxw4kyvbtBwK8FTPw_6_9"/>
      <w:bookmarkStart w:id="628" w:name="Tc_aAupTVsZYEeekVCVrhZldA_6_3"/>
      <w:bookmarkStart w:id="629" w:name="Tc_KTQ1mL8iIU-eL-QWvKFFDA_6_0"/>
      <w:bookmarkStart w:id="630" w:name="Tc_OPYGUzSLEECIKRjFpDrGfA_5_17"/>
      <w:bookmarkStart w:id="631" w:name="Tc_F2itk32F4UySYV4xkGxxWw_5_14"/>
      <w:bookmarkStart w:id="632" w:name="Tc_WGOtehg51U6zOjCy9opWNQ_5_11"/>
      <w:bookmarkStart w:id="633" w:name="Tc_P2vADZrFKkiUEi1MCNJq_w_5_8"/>
      <w:bookmarkStart w:id="634" w:name="Tc_KZXD5jjxakGiceZVvpUkbA_5_5"/>
      <w:bookmarkStart w:id="635" w:name="Tc_md8TXM66OE2i10CHwUJ43A_5_2"/>
      <w:bookmarkStart w:id="636" w:name="Tc_FAYiuG_C2EeRjm3aHFXlyg_5_0"/>
      <w:bookmarkStart w:id="637" w:name="Tc_mwPjQoFv9UGmqfPGTXt6aA_4_17"/>
      <w:bookmarkStart w:id="638" w:name="Tc_h5JjZcAAPkWBblQUIrdPUg_4_14"/>
      <w:bookmarkStart w:id="639" w:name="Tc_jUGZI0S1e0igglD_sJd3lg_4_11"/>
      <w:bookmarkStart w:id="640" w:name="Tc_lP8UGYhDw0ivPQRE9XOjXA_4_8"/>
      <w:bookmarkStart w:id="641" w:name="Tc_knPEEK9Ho0yPJwvRJGSMiw_4_5"/>
      <w:bookmarkStart w:id="642" w:name="Tc_qi-hi6wri0ur9TkpwxNE0Q_4_2"/>
      <w:bookmarkStart w:id="643" w:name="Tc_wW_5T721PUuBLvUDlO1wGg_3_17"/>
      <w:bookmarkStart w:id="644" w:name="Tc_1hzAJJigU06pS3qfvlwyuQ_3_14"/>
      <w:bookmarkStart w:id="645" w:name="Tc_ea8YA_Y2OEmNej1vfeRNUA_3_11"/>
      <w:bookmarkStart w:id="646" w:name="Tc_H1Okp4MyZEWYeo_i-qoT9w_3_8"/>
      <w:bookmarkStart w:id="647" w:name="Tc_HZGBTnzZBEy2jk5UZiKmyg_3_5"/>
      <w:bookmarkStart w:id="648" w:name="Tc_EKKu2MYrqk-OCiUXhWyXVA_3_2"/>
      <w:bookmarkStart w:id="649" w:name="Tc_QPptfJL0_UOtEwof8Huukw_2_17"/>
      <w:bookmarkStart w:id="650" w:name="Tc_SjOvAhyjWUuz2OQjkRbdjw_2_14"/>
      <w:bookmarkStart w:id="651" w:name="Tc_Pl8vE6qYJ0-eYHnouUlILw_2_8"/>
      <w:bookmarkStart w:id="652" w:name="Tc_ELCe28M2iUqsKIAzlrKMeg_1_8"/>
      <w:bookmarkStart w:id="653" w:name="_10accffa_0c1a_4081_a054_4ac113ba3512"/>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tbl>
      <w:tblPr>
        <w:tblW w:w="10205" w:type="dxa"/>
        <w:jc w:val="left"/>
        <w:tblInd w:w="0" w:type="dxa"/>
        <w:tblLayout w:type="fixed"/>
        <w:tblCellMar>
          <w:top w:w="0" w:type="dxa"/>
          <w:left w:w="0" w:type="dxa"/>
          <w:bottom w:w="0" w:type="dxa"/>
          <w:right w:w="0" w:type="dxa"/>
        </w:tblCellMar>
      </w:tblPr>
      <w:tblGrid>
        <w:gridCol w:w="2885"/>
        <w:gridCol w:w="346"/>
        <w:gridCol w:w="181"/>
        <w:gridCol w:w="511"/>
        <w:gridCol w:w="346"/>
        <w:gridCol w:w="181"/>
        <w:gridCol w:w="691"/>
        <w:gridCol w:w="346"/>
        <w:gridCol w:w="220"/>
        <w:gridCol w:w="771"/>
        <w:gridCol w:w="346"/>
        <w:gridCol w:w="181"/>
        <w:gridCol w:w="772"/>
        <w:gridCol w:w="346"/>
        <w:gridCol w:w="190"/>
        <w:gridCol w:w="731"/>
        <w:gridCol w:w="109"/>
        <w:gridCol w:w="268"/>
        <w:gridCol w:w="784"/>
      </w:tblGrid>
      <w:tr>
        <w:trPr/>
        <w:tc>
          <w:tcPr>
            <w:tcW w:w="2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2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pPr>
            <w:r>
              <w:rPr/>
              <w:t>​</w:t>
            </w:r>
          </w:p>
        </w:tc>
      </w:tr>
      <w:tr>
        <w:trPr/>
        <w:tc>
          <w:tcPr>
            <w:tcW w:w="2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r>
      <w:tr>
        <w:trPr/>
        <w:tc>
          <w:tcPr>
            <w:tcW w:w="2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left"/>
              <w:rPr/>
            </w:pPr>
            <w:r>
              <w:rPr/>
              <w:t>​</w:t>
            </w:r>
          </w:p>
        </w:tc>
        <w:tc>
          <w:tcPr>
            <w:tcW w:w="9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r>
      <w:tr>
        <w:trPr/>
        <w:tc>
          <w:tcPr>
            <w:tcW w:w="2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left"/>
              <w:rPr/>
            </w:pPr>
            <w:r>
              <w:rPr/>
              <w:t>​</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3,156,235</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(290,515)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(1,260,833)</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1,632,787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9,498</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108,033</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108,033</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6,826</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dividends declared ($0.77 per share)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(14,948)</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(14,948)</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Repurchases of common stock; 131,197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(57,029)</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(57,029)</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(5,296)</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8,909</w:t>
            </w:r>
          </w:p>
        </w:tc>
        <w:tc>
          <w:tcPr>
            <w:tcW w:w="346" w:type="dxa"/>
            <w:tcBorders/>
            <w:vAlign w:val="center"/>
          </w:tcPr>
          <w:p>
            <w:pPr>
              <w:pStyle w:val="TableContents"/>
              <w:bidi w:val="0"/>
              <w:spacing w:before="0" w:after="1"/>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3,613</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March 28, 2026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3,244,024</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(283,689)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(1,308,953)</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1,679,282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9,301</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earnings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119,918</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119,918</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(3,301)</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dividends declared ($0.77 per share)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(14,864)</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(14,864)</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(712)</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Repurchases of common stock; 118,719 shares acquired</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(60,563)</w:t>
            </w:r>
          </w:p>
        </w:tc>
        <w:tc>
          <w:tcPr>
            <w:tcW w:w="346" w:type="dxa"/>
            <w:tcBorders/>
            <w:vAlign w:val="center"/>
          </w:tcPr>
          <w:p>
            <w:pPr>
              <w:pStyle w:val="TableContents"/>
              <w:bidi w:val="0"/>
              <w:spacing w:before="0" w:after="1"/>
              <w:ind w:left="0" w:right="0" w:hanging="0"/>
              <w:jc w:val="left"/>
              <w:rPr/>
            </w:pPr>
            <w:r>
              <w:rPr/>
              <w:t>​</w:t>
            </w:r>
          </w:p>
        </w:tc>
        <w:tc>
          <w:tcPr>
            <w:tcW w:w="19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(60,563)</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r>
      <w:tr>
        <w:trPr/>
        <w:tc>
          <w:tcPr>
            <w:tcW w:w="28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2,637</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3,644</w:t>
            </w:r>
          </w:p>
        </w:tc>
        <w:tc>
          <w:tcPr>
            <w:tcW w:w="346" w:type="dxa"/>
            <w:tcBorders/>
            <w:shd w:fill="CCEEFF" w:val="clear"/>
            <w:vAlign w:val="center"/>
          </w:tcPr>
          <w:p>
            <w:pPr>
              <w:pStyle w:val="TableContents"/>
              <w:bidi w:val="0"/>
              <w:spacing w:before="0" w:after="1"/>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6,281</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8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27, 2026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3,351,715</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(286,990)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(1,365,872)</w:t>
            </w:r>
          </w:p>
        </w:tc>
        <w:tc>
          <w:tcPr>
            <w:tcW w:w="346" w:type="dxa"/>
            <w:tcBorders/>
            <w:vAlign w:val="center"/>
          </w:tcPr>
          <w:p>
            <w:pPr>
              <w:pStyle w:val="TableContents"/>
              <w:bidi w:val="0"/>
              <w:spacing w:before="0" w:after="1"/>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1,726,753</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4"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8,836</w:t>
            </w:r>
          </w:p>
        </w:tc>
      </w:tr>
    </w:tbl>
    <w:p>
      <w:pPr>
        <w:pStyle w:val="TextBody"/>
        <w:bidi w:val="0"/>
        <w:spacing w:lineRule="auto" w:line="328" w:before="0" w:after="240"/>
        <w:ind w:left="0" w:right="0" w:hanging="0"/>
        <w:jc w:val="left"/>
        <w:rPr/>
      </w:pPr>
      <w:r>
        <w:rPr/>
        <w:t>​</w:t>
      </w:r>
    </w:p>
    <w:p>
      <w:pPr>
        <w:pStyle w:val="Normal"/>
        <w:bidi w:val="0"/>
        <w:spacing w:before="0" w:after="0"/>
        <w:jc w:val="left"/>
        <w:rPr>
          <w:sz w:val="4"/>
          <w:szCs w:val="4"/>
        </w:rPr>
      </w:pPr>
      <w:r>
        <w:rPr>
          <w:sz w:val="4"/>
          <w:szCs w:val="4"/>
        </w:rPr>
      </w:r>
      <w:bookmarkStart w:id="654" w:name="Tc_xJHTcZ9mS0Sy11six5sPMQ_20_17"/>
      <w:bookmarkStart w:id="655" w:name="Tc_-dW9G7m1Hk-49fKOKFsn3w_20_14"/>
      <w:bookmarkStart w:id="656" w:name="Tc_aD0t7aMsRE-2jOIKcpjR7Q_20_11"/>
      <w:bookmarkStart w:id="657" w:name="Tc_GNxipVCwV0uydyhpg0xe8g_20_8"/>
      <w:bookmarkStart w:id="658" w:name="Tc__zn9Yq5eRUCCa_UGfIXjaw_20_5"/>
      <w:bookmarkStart w:id="659" w:name="Tc_Kfn28haSNE-Y7tWS4TtGgQ_20_2"/>
      <w:bookmarkStart w:id="660" w:name="Tc_OzOJtIXSX0O2M8tCB4s69w_20_0"/>
      <w:bookmarkStart w:id="661" w:name="Tc_m4KJWa2tbEONyTBDBUjYJg_19_18"/>
      <w:bookmarkStart w:id="662" w:name="Tc_K7pWVCVsfUe-pH73R9ZBtw_19_9"/>
      <w:bookmarkStart w:id="663" w:name="Tc_hxB_qUbpWk2ICkxeVY4ssw_19_3"/>
      <w:bookmarkStart w:id="664" w:name="Tc_ifcvg8O_LEywjLnE5o4Hgg_19_0"/>
      <w:bookmarkStart w:id="665" w:name="Tc_cnWT5LQApE2qrx8aAn58Pw_18_18"/>
      <w:bookmarkStart w:id="666" w:name="Tc_cDTlaE1XCkSwZP3tTWiENw_18_9"/>
      <w:bookmarkStart w:id="667" w:name="Tc_Zc_zkhdDakOXZ2cpn8l02w_18_6"/>
      <w:bookmarkStart w:id="668" w:name="Tc_KubcUbvqmEW6Q38xHJ72lg_18_3"/>
      <w:bookmarkStart w:id="669" w:name="Tc_x6c2ZeklokOCmi9NCctVRQ_18_0"/>
      <w:bookmarkStart w:id="670" w:name="Tc_pvKAttmBIkKNdN-FJcRXhg_17_12"/>
      <w:bookmarkStart w:id="671" w:name="Tc_0e_lH4cIOE-eD-cn0jLXLQ_17_9"/>
      <w:bookmarkStart w:id="672" w:name="Tc_gvOmmBYZAUyTqY0IX8icig_17_3"/>
      <w:bookmarkStart w:id="673" w:name="Tc_PDLoqlmtx0mEKKwUxtxiQw_17_0"/>
      <w:bookmarkStart w:id="674" w:name="Tc_g7UuMklr8U-CzR6SKXGTaw_16_12"/>
      <w:bookmarkStart w:id="675" w:name="Tc_VS3zeun1KkGg1ztfelchrQ_16_9"/>
      <w:bookmarkStart w:id="676" w:name="Tc_6KleqQlp806Kw-t8opPfug_16_3"/>
      <w:bookmarkStart w:id="677" w:name="Tc_1_PI5NSSEUOG5QNraE1IQw_16_0"/>
      <w:bookmarkStart w:id="678" w:name="Tc_XjHIsBrHEkqDWm_dPTps3g_15_18"/>
      <w:bookmarkStart w:id="679" w:name="Tc_1xE3n7RE5US6mnqPL5gbqg_15_12"/>
      <w:bookmarkStart w:id="680" w:name="Tc_wlQY7pSKSkiLhGoQLIK8fQ_15_9"/>
      <w:bookmarkStart w:id="681" w:name="Tc_Hit6XD6x4EW_gyp73JY40A_15_3"/>
      <w:bookmarkStart w:id="682" w:name="Tc_2HhhqOKVCEmuCJIugmdyNA_15_0"/>
      <w:bookmarkStart w:id="683" w:name="Tc_7vwcRLybLE-QfPEeuiAMRQ_14_12"/>
      <w:bookmarkStart w:id="684" w:name="Tc_HEciiFwN90SMEdBq_q0UPg_14_6"/>
      <w:bookmarkStart w:id="685" w:name="Tc_rDPExgRr60ij2EBXgribFA_14_3"/>
      <w:bookmarkStart w:id="686" w:name="Tc_TGP8Cz80y0-c0Jt3AhZXNQ_14_0"/>
      <w:bookmarkStart w:id="687" w:name="Tc_sIyvrluoGkKogB4sl9hQeQ_13_12"/>
      <w:bookmarkStart w:id="688" w:name="Tc_lWvy1UpEK0-SeytrlZTSDg_13_9"/>
      <w:bookmarkStart w:id="689" w:name="Tc_CMg1i11gP0OI2qsBzkYq7g_13_3"/>
      <w:bookmarkStart w:id="690" w:name="Tc_l5FONMjumkS1-ZbuG7B3tQ_13_0"/>
      <w:bookmarkStart w:id="691" w:name="Tc_VJeHvgaZTEaxKtZ_GrvBbA_12_17"/>
      <w:bookmarkStart w:id="692" w:name="Tc_4q6s-L5Np0i95RFNP_2vvQ_12_14"/>
      <w:bookmarkStart w:id="693" w:name="Tc_vZv8SbozzUS9fnRXDMkeKA_12_11"/>
      <w:bookmarkStart w:id="694" w:name="Tc_QqZMowOpi0uRufvcL7fpcg_12_8"/>
      <w:bookmarkStart w:id="695" w:name="Tc_GzGIWcjUdEiuAUhIJ6zZuw_12_5"/>
      <w:bookmarkStart w:id="696" w:name="Tc_Fjn_orJKeUyD9lxmfKZxUg_12_2"/>
      <w:bookmarkStart w:id="697" w:name="Tc_2nXFLeq0Ok6LjIH_Kr8REQ_12_0"/>
      <w:bookmarkStart w:id="698" w:name="Tc_WtlZUVJ-pUuz2onrsszZNg_11_18"/>
      <w:bookmarkStart w:id="699" w:name="Tc_5caAdGWZMk-twUGm2KkuSw_11_9"/>
      <w:bookmarkStart w:id="700" w:name="Tc_pV3We80gzE65Ib4zhpJ9kA_11_3"/>
      <w:bookmarkStart w:id="701" w:name="Tc_nUDrNsvesES6S_719Ua7mw_11_0"/>
      <w:bookmarkStart w:id="702" w:name="Tc_44jZDYFm0UKt6qrsgWg2Og_10_12"/>
      <w:bookmarkStart w:id="703" w:name="Tc_bBiY9gtApUqojVSafHD8kg_10_9"/>
      <w:bookmarkStart w:id="704" w:name="Tc_Sg_pu11uqEGXND6IjyK4fg_10_3"/>
      <w:bookmarkStart w:id="705" w:name="Tc_PJcX9hw5Vkur-7_IwJUrfQ_10_0"/>
      <w:bookmarkStart w:id="706" w:name="Tc_IRN7DRbddUSSdT7XkUxVKQ_9_15"/>
      <w:bookmarkStart w:id="707" w:name="Tc_8i2sc5FfaUiTh59z9WYbnA_9_12"/>
      <w:bookmarkStart w:id="708" w:name="Tc_CZUczoAY0UupDdZm6R9crg_9_9"/>
      <w:bookmarkStart w:id="709" w:name="Tc_keoiaKPWw0CNDFsRO-F5Gw_9_6"/>
      <w:bookmarkStart w:id="710" w:name="Tc_LWUo22CBO0Syx6ESvg_Zkg_9_3"/>
      <w:bookmarkStart w:id="711" w:name="Tc_aK51CPJ-nESiR7dEdOK0Ig_9_0"/>
      <w:bookmarkStart w:id="712" w:name="Tc_gdqfRqAwtEOceLs8iO_oqQ_8_18"/>
      <w:bookmarkStart w:id="713" w:name="Tc_iQV8FuLOG0KnNzSZ2EoGcQ_8_12"/>
      <w:bookmarkStart w:id="714" w:name="Tc_sqFGFrNF00O0mIrf8IyVUQ_8_9"/>
      <w:bookmarkStart w:id="715" w:name="Tc_OXrQ7FcZ60Wd_NxXehMCoQ_8_3"/>
      <w:bookmarkStart w:id="716" w:name="Tc_ET2aYXywOUOYFQpz2ZDfUg_8_0"/>
      <w:bookmarkStart w:id="717" w:name="Tc_kOkQjrgw80qShSjm7CO4Kg_7_12"/>
      <w:bookmarkStart w:id="718" w:name="Tc_z4_jku9b4ECvSyGPqWPOiw_7_6"/>
      <w:bookmarkStart w:id="719" w:name="Tc_2gnLbfsZak6E2wSONISUmw_7_3"/>
      <w:bookmarkStart w:id="720" w:name="Tc_XZFm8EzTUUi9gGhAFgtZwA_7_0"/>
      <w:bookmarkStart w:id="721" w:name="Tc_eGKpcEFVlkeGEsWvvR7HZA_6_12"/>
      <w:bookmarkStart w:id="722" w:name="Tc_5NrPCsl0h0qEXQz7_LxbtQ_6_9"/>
      <w:bookmarkStart w:id="723" w:name="Tc_3FNGRH02mU-Zgxs_DezgJA_6_3"/>
      <w:bookmarkStart w:id="724" w:name="Tc_61272b0kKkCJCNojcEqcoQ_6_0"/>
      <w:bookmarkStart w:id="725" w:name="Tc_G1Z-yfmQiESOIxWQ1nb0Vw_5_17"/>
      <w:bookmarkStart w:id="726" w:name="Tc_B4SCmWxa50iFSDlHbGIIZg_5_14"/>
      <w:bookmarkStart w:id="727" w:name="Tc_twQ36JjywUe36uDeIijacw_5_11"/>
      <w:bookmarkStart w:id="728" w:name="Tc_rQc5cJZmVUOdmQwMpKtabw_5_8"/>
      <w:bookmarkStart w:id="729" w:name="Tc_6ndph_NHhUqeds5AJZlk9g_5_5"/>
      <w:bookmarkStart w:id="730" w:name="Tc_Gr7J0mPQm0GqzxZ6U8VkaQ_5_2"/>
      <w:bookmarkStart w:id="731" w:name="Tc_v2X0uPUtSkiG68XsuVCvIg_5_0"/>
      <w:bookmarkStart w:id="732" w:name="Tc_J27gsKfkREagls0MXUzqdw_4_17"/>
      <w:bookmarkStart w:id="733" w:name="Tc_VMApKATSvkmxTNz4B38Fcw_4_14"/>
      <w:bookmarkStart w:id="734" w:name="Tc_hLP8WlJBy0CTD5xuVsN_bg_4_11"/>
      <w:bookmarkStart w:id="735" w:name="Tc_fhbH7U2iC0i7C4z1ZFwpeg_4_8"/>
      <w:bookmarkStart w:id="736" w:name="Tc_CW1bYWiJXEKIkhCj7QLpnA_4_5"/>
      <w:bookmarkStart w:id="737" w:name="Tc_fw3yqmyHzk-S27h1F3F62Q_4_2"/>
      <w:bookmarkStart w:id="738" w:name="Tc_YqeliM7NNEawYNQpZDaWuA_3_17"/>
      <w:bookmarkStart w:id="739" w:name="Tc_sPMlbggz6kiYOwvWgGvqsA_3_14"/>
      <w:bookmarkStart w:id="740" w:name="Tc_dQoQCdmYNEaaUUaKOIuwjQ_3_11"/>
      <w:bookmarkStart w:id="741" w:name="Tc_gP-uuvIb00m9MdEp79zu7g_3_8"/>
      <w:bookmarkStart w:id="742" w:name="Tc_sZnJO5KiEESVUHv7PHVn4g_3_5"/>
      <w:bookmarkStart w:id="743" w:name="Tc_10JKeepvSkicp_Vq4Tz2Lg_3_2"/>
      <w:bookmarkStart w:id="744" w:name="Tc_vvdBQXuMikWRoO9V_iICeg_2_17"/>
      <w:bookmarkStart w:id="745" w:name="Tc_gtGzZE1akEm9AFa7PKW_8w_2_14"/>
      <w:bookmarkStart w:id="746" w:name="Tc_tswOK5HzikWzFUhgL3a9Fg_2_8"/>
      <w:bookmarkStart w:id="747" w:name="Tc_b1tJN9K-902ErC9IPwNOIA_1_8"/>
      <w:bookmarkStart w:id="748" w:name="_ce3912ca_add6_45ea_816d_cfa3b9ec0889"/>
      <w:bookmarkStart w:id="749" w:name="Tc_xJHTcZ9mS0Sy11six5sPMQ_20_17"/>
      <w:bookmarkStart w:id="750" w:name="Tc_-dW9G7m1Hk-49fKOKFsn3w_20_14"/>
      <w:bookmarkStart w:id="751" w:name="Tc_aD0t7aMsRE-2jOIKcpjR7Q_20_11"/>
      <w:bookmarkStart w:id="752" w:name="Tc_GNxipVCwV0uydyhpg0xe8g_20_8"/>
      <w:bookmarkStart w:id="753" w:name="Tc__zn9Yq5eRUCCa_UGfIXjaw_20_5"/>
      <w:bookmarkStart w:id="754" w:name="Tc_Kfn28haSNE-Y7tWS4TtGgQ_20_2"/>
      <w:bookmarkStart w:id="755" w:name="Tc_OzOJtIXSX0O2M8tCB4s69w_20_0"/>
      <w:bookmarkStart w:id="756" w:name="Tc_m4KJWa2tbEONyTBDBUjYJg_19_18"/>
      <w:bookmarkStart w:id="757" w:name="Tc_K7pWVCVsfUe-pH73R9ZBtw_19_9"/>
      <w:bookmarkStart w:id="758" w:name="Tc_hxB_qUbpWk2ICkxeVY4ssw_19_3"/>
      <w:bookmarkStart w:id="759" w:name="Tc_ifcvg8O_LEywjLnE5o4Hgg_19_0"/>
      <w:bookmarkStart w:id="760" w:name="Tc_cnWT5LQApE2qrx8aAn58Pw_18_18"/>
      <w:bookmarkStart w:id="761" w:name="Tc_cDTlaE1XCkSwZP3tTWiENw_18_9"/>
      <w:bookmarkStart w:id="762" w:name="Tc_Zc_zkhdDakOXZ2cpn8l02w_18_6"/>
      <w:bookmarkStart w:id="763" w:name="Tc_KubcUbvqmEW6Q38xHJ72lg_18_3"/>
      <w:bookmarkStart w:id="764" w:name="Tc_x6c2ZeklokOCmi9NCctVRQ_18_0"/>
      <w:bookmarkStart w:id="765" w:name="Tc_pvKAttmBIkKNdN-FJcRXhg_17_12"/>
      <w:bookmarkStart w:id="766" w:name="Tc_0e_lH4cIOE-eD-cn0jLXLQ_17_9"/>
      <w:bookmarkStart w:id="767" w:name="Tc_gvOmmBYZAUyTqY0IX8icig_17_3"/>
      <w:bookmarkStart w:id="768" w:name="Tc_PDLoqlmtx0mEKKwUxtxiQw_17_0"/>
      <w:bookmarkStart w:id="769" w:name="Tc_g7UuMklr8U-CzR6SKXGTaw_16_12"/>
      <w:bookmarkStart w:id="770" w:name="Tc_VS3zeun1KkGg1ztfelchrQ_16_9"/>
      <w:bookmarkStart w:id="771" w:name="Tc_6KleqQlp806Kw-t8opPfug_16_3"/>
      <w:bookmarkStart w:id="772" w:name="Tc_1_PI5NSSEUOG5QNraE1IQw_16_0"/>
      <w:bookmarkStart w:id="773" w:name="Tc_XjHIsBrHEkqDWm_dPTps3g_15_18"/>
      <w:bookmarkStart w:id="774" w:name="Tc_1xE3n7RE5US6mnqPL5gbqg_15_12"/>
      <w:bookmarkStart w:id="775" w:name="Tc_wlQY7pSKSkiLhGoQLIK8fQ_15_9"/>
      <w:bookmarkStart w:id="776" w:name="Tc_Hit6XD6x4EW_gyp73JY40A_15_3"/>
      <w:bookmarkStart w:id="777" w:name="Tc_2HhhqOKVCEmuCJIugmdyNA_15_0"/>
      <w:bookmarkStart w:id="778" w:name="Tc_7vwcRLybLE-QfPEeuiAMRQ_14_12"/>
      <w:bookmarkStart w:id="779" w:name="Tc_HEciiFwN90SMEdBq_q0UPg_14_6"/>
      <w:bookmarkStart w:id="780" w:name="Tc_rDPExgRr60ij2EBXgribFA_14_3"/>
      <w:bookmarkStart w:id="781" w:name="Tc_TGP8Cz80y0-c0Jt3AhZXNQ_14_0"/>
      <w:bookmarkStart w:id="782" w:name="Tc_sIyvrluoGkKogB4sl9hQeQ_13_12"/>
      <w:bookmarkStart w:id="783" w:name="Tc_lWvy1UpEK0-SeytrlZTSDg_13_9"/>
      <w:bookmarkStart w:id="784" w:name="Tc_CMg1i11gP0OI2qsBzkYq7g_13_3"/>
      <w:bookmarkStart w:id="785" w:name="Tc_l5FONMjumkS1-ZbuG7B3tQ_13_0"/>
      <w:bookmarkStart w:id="786" w:name="Tc_VJeHvgaZTEaxKtZ_GrvBbA_12_17"/>
      <w:bookmarkStart w:id="787" w:name="Tc_4q6s-L5Np0i95RFNP_2vvQ_12_14"/>
      <w:bookmarkStart w:id="788" w:name="Tc_vZv8SbozzUS9fnRXDMkeKA_12_11"/>
      <w:bookmarkStart w:id="789" w:name="Tc_QqZMowOpi0uRufvcL7fpcg_12_8"/>
      <w:bookmarkStart w:id="790" w:name="Tc_GzGIWcjUdEiuAUhIJ6zZuw_12_5"/>
      <w:bookmarkStart w:id="791" w:name="Tc_Fjn_orJKeUyD9lxmfKZxUg_12_2"/>
      <w:bookmarkStart w:id="792" w:name="Tc_2nXFLeq0Ok6LjIH_Kr8REQ_12_0"/>
      <w:bookmarkStart w:id="793" w:name="Tc_WtlZUVJ-pUuz2onrsszZNg_11_18"/>
      <w:bookmarkStart w:id="794" w:name="Tc_5caAdGWZMk-twUGm2KkuSw_11_9"/>
      <w:bookmarkStart w:id="795" w:name="Tc_pV3We80gzE65Ib4zhpJ9kA_11_3"/>
      <w:bookmarkStart w:id="796" w:name="Tc_nUDrNsvesES6S_719Ua7mw_11_0"/>
      <w:bookmarkStart w:id="797" w:name="Tc_44jZDYFm0UKt6qrsgWg2Og_10_12"/>
      <w:bookmarkStart w:id="798" w:name="Tc_bBiY9gtApUqojVSafHD8kg_10_9"/>
      <w:bookmarkStart w:id="799" w:name="Tc_Sg_pu11uqEGXND6IjyK4fg_10_3"/>
      <w:bookmarkStart w:id="800" w:name="Tc_PJcX9hw5Vkur-7_IwJUrfQ_10_0"/>
      <w:bookmarkStart w:id="801" w:name="Tc_IRN7DRbddUSSdT7XkUxVKQ_9_15"/>
      <w:bookmarkStart w:id="802" w:name="Tc_8i2sc5FfaUiTh59z9WYbnA_9_12"/>
      <w:bookmarkStart w:id="803" w:name="Tc_CZUczoAY0UupDdZm6R9crg_9_9"/>
      <w:bookmarkStart w:id="804" w:name="Tc_keoiaKPWw0CNDFsRO-F5Gw_9_6"/>
      <w:bookmarkStart w:id="805" w:name="Tc_LWUo22CBO0Syx6ESvg_Zkg_9_3"/>
      <w:bookmarkStart w:id="806" w:name="Tc_aK51CPJ-nESiR7dEdOK0Ig_9_0"/>
      <w:bookmarkStart w:id="807" w:name="Tc_gdqfRqAwtEOceLs8iO_oqQ_8_18"/>
      <w:bookmarkStart w:id="808" w:name="Tc_iQV8FuLOG0KnNzSZ2EoGcQ_8_12"/>
      <w:bookmarkStart w:id="809" w:name="Tc_sqFGFrNF00O0mIrf8IyVUQ_8_9"/>
      <w:bookmarkStart w:id="810" w:name="Tc_OXrQ7FcZ60Wd_NxXehMCoQ_8_3"/>
      <w:bookmarkStart w:id="811" w:name="Tc_ET2aYXywOUOYFQpz2ZDfUg_8_0"/>
      <w:bookmarkStart w:id="812" w:name="Tc_kOkQjrgw80qShSjm7CO4Kg_7_12"/>
      <w:bookmarkStart w:id="813" w:name="Tc_z4_jku9b4ECvSyGPqWPOiw_7_6"/>
      <w:bookmarkStart w:id="814" w:name="Tc_2gnLbfsZak6E2wSONISUmw_7_3"/>
      <w:bookmarkStart w:id="815" w:name="Tc_XZFm8EzTUUi9gGhAFgtZwA_7_0"/>
      <w:bookmarkStart w:id="816" w:name="Tc_eGKpcEFVlkeGEsWvvR7HZA_6_12"/>
      <w:bookmarkStart w:id="817" w:name="Tc_5NrPCsl0h0qEXQz7_LxbtQ_6_9"/>
      <w:bookmarkStart w:id="818" w:name="Tc_3FNGRH02mU-Zgxs_DezgJA_6_3"/>
      <w:bookmarkStart w:id="819" w:name="Tc_61272b0kKkCJCNojcEqcoQ_6_0"/>
      <w:bookmarkStart w:id="820" w:name="Tc_G1Z-yfmQiESOIxWQ1nb0Vw_5_17"/>
      <w:bookmarkStart w:id="821" w:name="Tc_B4SCmWxa50iFSDlHbGIIZg_5_14"/>
      <w:bookmarkStart w:id="822" w:name="Tc_twQ36JjywUe36uDeIijacw_5_11"/>
      <w:bookmarkStart w:id="823" w:name="Tc_rQc5cJZmVUOdmQwMpKtabw_5_8"/>
      <w:bookmarkStart w:id="824" w:name="Tc_6ndph_NHhUqeds5AJZlk9g_5_5"/>
      <w:bookmarkStart w:id="825" w:name="Tc_Gr7J0mPQm0GqzxZ6U8VkaQ_5_2"/>
      <w:bookmarkStart w:id="826" w:name="Tc_v2X0uPUtSkiG68XsuVCvIg_5_0"/>
      <w:bookmarkStart w:id="827" w:name="Tc_J27gsKfkREagls0MXUzqdw_4_17"/>
      <w:bookmarkStart w:id="828" w:name="Tc_VMApKATSvkmxTNz4B38Fcw_4_14"/>
      <w:bookmarkStart w:id="829" w:name="Tc_hLP8WlJBy0CTD5xuVsN_bg_4_11"/>
      <w:bookmarkStart w:id="830" w:name="Tc_fhbH7U2iC0i7C4z1ZFwpeg_4_8"/>
      <w:bookmarkStart w:id="831" w:name="Tc_CW1bYWiJXEKIkhCj7QLpnA_4_5"/>
      <w:bookmarkStart w:id="832" w:name="Tc_fw3yqmyHzk-S27h1F3F62Q_4_2"/>
      <w:bookmarkStart w:id="833" w:name="Tc_YqeliM7NNEawYNQpZDaWuA_3_17"/>
      <w:bookmarkStart w:id="834" w:name="Tc_sPMlbggz6kiYOwvWgGvqsA_3_14"/>
      <w:bookmarkStart w:id="835" w:name="Tc_dQoQCdmYNEaaUUaKOIuwjQ_3_11"/>
      <w:bookmarkStart w:id="836" w:name="Tc_gP-uuvIb00m9MdEp79zu7g_3_8"/>
      <w:bookmarkStart w:id="837" w:name="Tc_sZnJO5KiEESVUHv7PHVn4g_3_5"/>
      <w:bookmarkStart w:id="838" w:name="Tc_10JKeepvSkicp_Vq4Tz2Lg_3_2"/>
      <w:bookmarkStart w:id="839" w:name="Tc_vvdBQXuMikWRoO9V_iICeg_2_17"/>
      <w:bookmarkStart w:id="840" w:name="Tc_gtGzZE1akEm9AFa7PKW_8w_2_14"/>
      <w:bookmarkStart w:id="841" w:name="Tc_tswOK5HzikWzFUhgL3a9Fg_2_8"/>
      <w:bookmarkStart w:id="842" w:name="Tc_b1tJN9K-902ErC9IPwNOIA_1_8"/>
      <w:bookmarkStart w:id="843" w:name="_ce3912ca_add6_45ea_816d_cfa3b9ec0889"/>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tbl>
      <w:tblPr>
        <w:tblW w:w="10205" w:type="dxa"/>
        <w:jc w:val="left"/>
        <w:tblInd w:w="0" w:type="dxa"/>
        <w:tblLayout w:type="fixed"/>
        <w:tblCellMar>
          <w:top w:w="0" w:type="dxa"/>
          <w:left w:w="0" w:type="dxa"/>
          <w:bottom w:w="0" w:type="dxa"/>
          <w:right w:w="0" w:type="dxa"/>
        </w:tblCellMar>
      </w:tblPr>
      <w:tblGrid>
        <w:gridCol w:w="2893"/>
        <w:gridCol w:w="346"/>
        <w:gridCol w:w="181"/>
        <w:gridCol w:w="511"/>
        <w:gridCol w:w="346"/>
        <w:gridCol w:w="181"/>
        <w:gridCol w:w="691"/>
        <w:gridCol w:w="346"/>
        <w:gridCol w:w="220"/>
        <w:gridCol w:w="771"/>
        <w:gridCol w:w="346"/>
        <w:gridCol w:w="181"/>
        <w:gridCol w:w="767"/>
        <w:gridCol w:w="346"/>
        <w:gridCol w:w="189"/>
        <w:gridCol w:w="727"/>
        <w:gridCol w:w="109"/>
        <w:gridCol w:w="243"/>
        <w:gridCol w:w="811"/>
      </w:tblGrid>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Redeemable</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r>
      <w:tr>
        <w:trPr/>
        <w:tc>
          <w:tcPr>
            <w:tcW w:w="2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0"/>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28, 2024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2,940,838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(332,775)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(1,093,869)</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1,542,094</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51,519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87,261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87,261</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(598)</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22,676</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($0.68 per share)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(13,647)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(13,647)</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adjustment on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(8,306)</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12,024</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3,718</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29, 2025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2,999,046</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(310,099)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(1,081,845)</w:t>
            </w:r>
          </w:p>
        </w:tc>
        <w:tc>
          <w:tcPr>
            <w:tcW w:w="346" w:type="dxa"/>
            <w:tcBorders/>
            <w:vAlign w:val="center"/>
          </w:tcPr>
          <w:p>
            <w:pPr>
              <w:pStyle w:val="TableContents"/>
              <w:bidi w:val="0"/>
              <w:spacing w:before="0" w:after="0"/>
              <w:ind w:left="0" w:right="0" w:hanging="0"/>
              <w:jc w:val="left"/>
              <w:rPr/>
            </w:pPr>
            <w:r>
              <w:rPr/>
              <w:t>​</w:t>
            </w:r>
          </w:p>
        </w:tc>
        <w:tc>
          <w:tcPr>
            <w:tcW w:w="1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1,635,002</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56,899</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(4,020)</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net of tax</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31,575</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($0.68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(13,419)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(13,419)</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adjustment on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redemption value of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(26,243)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(26,243)</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26,243</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Repurchases of common stock; 357,979 shares acquired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(100,855)</w:t>
            </w:r>
          </w:p>
        </w:tc>
        <w:tc>
          <w:tcPr>
            <w:tcW w:w="34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(100,855)</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5,917</w:t>
            </w:r>
          </w:p>
        </w:tc>
        <w:tc>
          <w:tcPr>
            <w:tcW w:w="346"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5,826</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28, 2025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2,956,362</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(278,524)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(1,176,783)</w:t>
            </w:r>
          </w:p>
        </w:tc>
        <w:tc>
          <w:tcPr>
            <w:tcW w:w="346" w:type="dxa"/>
            <w:tcBorders/>
            <w:vAlign w:val="center"/>
          </w:tcPr>
          <w:p>
            <w:pPr>
              <w:pStyle w:val="TableContents"/>
              <w:bidi w:val="0"/>
              <w:spacing w:before="0" w:after="0"/>
              <w:ind w:left="0" w:right="0" w:hanging="0"/>
              <w:jc w:val="left"/>
              <w:rPr/>
            </w:pPr>
            <w:r>
              <w:rPr/>
              <w:t>​</w:t>
            </w:r>
          </w:p>
        </w:tc>
        <w:tc>
          <w:tcPr>
            <w:tcW w:w="1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1,528,955</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84,062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844" w:name="NOTESTOCONDENSEDCONSOLITATEDFINANCIALSTA"/>
      <w:bookmarkStart w:id="845" w:name="_1_BASIS_OF"/>
      <w:bookmarkEnd w:id="844"/>
      <w:bookmarkEnd w:id="845"/>
      <w:r>
        <w:rPr>
          <w:rFonts w:ascii="Times New Roman;Times;serif" w:hAnsi="Times New Roman;Times;serif"/>
          <w:b/>
          <w:sz w:val="20"/>
        </w:rPr>
        <w:t>(1) SUMMARY OF SIGNIFICANT ACCOUNTING POLICIES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include the accounts of Valmont Industries, Inc. and its controlled subsidiaries (collectively, “Valmont” or the “Company”). Investments in affiliates and joint ventures over which the Company exercises significant influence but does not control are accounted for using the equity method of accounting. All intercompany accounts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United States generally accepted accounting principles (“U.S. GAAP”) for interim financial information. Accordingly, they do not include all of the information and footnote disclosures required by U.S. GAAP for complete annual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opinion of management, the unaudited Condensed Consolidated Financial Statements reflect all adjustments, consisting of normal recurring adjustments, considered necessary for a fair presentation of the Company’s financial position, results of operations, and cash flows for the interim periods presented. The results of operations for any interim period are not necessarily indicative of the results to be expected for the full fiscal year or for any other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Consolidated Financial Statements and accompanying notes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from those disclosed in Note 1 to the Consolidated Financial Statements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(“ASU”) No.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(Subtopic 220-40): Disaggregation of Income Statement Expenses. This update aims to enhance expense disclosures by providing more detailed information on the types of expenses within commonly presented categories. The guidance is effective on a prospective basis, with the option to apply it retrospectively, for the fiscal year ending December 25, 2027, with early adoption permitted. The Company does not expect any impact on its results of operations, as the changes primarily relate to enhanced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Intangibles—Goodwill and Other— Internal-Use Software</w:t>
      </w:r>
      <w:r>
        <w:rPr>
          <w:rFonts w:ascii="Times New Roman;Times;serif" w:hAnsi="Times New Roman;Times;serif"/>
          <w:sz w:val="20"/>
        </w:rPr>
        <w:t xml:space="preserve"> (Subtopic 350-40): Targeted Improvements to the Accounting for Internal-Use Software. This update amends certain aspects of the accounting for and disclosure of software costs. The guidance will be adopted prospectively for the Form 10-K for the fiscal year ending December 30, 2028, with early adoption permitted. The Company is currently evaluating the impact of this standard on the Consolidated Financial Statements and related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REVENUE RECOGNITION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assets are recognized as revenue is earned over time and are reduced when the customer is invoiced. As of June 27, 2026 and December 27, 2025, the Company’s contract assets totaled $272,731 and $266,922, respectively, and were recorded as “Contract assets” in the Condensed Consolidated Balance Sheets.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customers are invoiced through advance or progress billings. When the progress toward performance obligations is less than the amount billed to the customer, the excess is recorded as a contract liability. As of June 27, 2026, total contract liabilities were $80,114, with $79,785 recorded as “Contract liabilities” and $329 as “Other non-current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846" w:name="Tc__IwR-m7jAUqz1fWiQmyV9w_5_17"/>
      <w:bookmarkStart w:id="847" w:name="Tc_0S9INUYVsU629f8sViNsLQ_5_14"/>
      <w:bookmarkStart w:id="848" w:name="Tc_wG-baXmJd0iA336T_wu_5Q_5_11"/>
      <w:bookmarkStart w:id="849" w:name="Tc_R_-f8Im7tUKlOoHkOkVuvg_5_8"/>
      <w:bookmarkStart w:id="850" w:name="Tc_2PAZSfgrbEqSn3OH1Rdnzw_5_5"/>
      <w:bookmarkStart w:id="851" w:name="Tc_M_C5IsNID0mljCJGoXhYEA_5_2"/>
      <w:bookmarkStart w:id="852" w:name="Tc_uq4bv7r2iE6bb3RQvTTUmg_5_0"/>
      <w:bookmarkStart w:id="853" w:name="Tc_BPMc6atrCk6G75MhMKD3Ww_4_0"/>
      <w:bookmarkStart w:id="854" w:name="Tc__tzjCPj2mEqd-MSwyCVWoA_3_17"/>
      <w:bookmarkStart w:id="855" w:name="Tc_5XY4njY8-0SPVadvLx069g_3_14"/>
      <w:bookmarkStart w:id="856" w:name="Tc_Ki_oFjc6qUqrf4dWj-hcRg_3_11"/>
      <w:bookmarkStart w:id="857" w:name="Tc_OYzyj29eUUquojaXHRT8eQ_3_8"/>
      <w:bookmarkStart w:id="858" w:name="Tc_45MDR7CYk0KNmKqe6rGSkw_3_5"/>
      <w:bookmarkStart w:id="859" w:name="Tc_XEDWcmCW4E20UqA_lxXKOw_3_2"/>
      <w:bookmarkStart w:id="860" w:name="Tc_TiZxaCEb5U6zX0hgaNP_kQ_3_0"/>
      <w:bookmarkStart w:id="861" w:name="Tc_Ar8cI63Gakuj5W0qbMbfPQ_2_17"/>
      <w:bookmarkStart w:id="862" w:name="Tc_Het09LFc4UGG9zrg0B9TXg_2_14"/>
      <w:bookmarkStart w:id="863" w:name="Tc_6q0jBJT1PEOr_ponltAKXw_2_11"/>
      <w:bookmarkStart w:id="864" w:name="Tc_RUU0O3q5KEOTrVAhH1YWuA_2_8"/>
      <w:bookmarkStart w:id="865" w:name="Tc_8GxAHsT4q0WYFOSVYiNNVQ_2_5"/>
      <w:bookmarkStart w:id="866" w:name="Tc_OBEHtufYhUyspRd1jUFbjQ_2_2"/>
      <w:bookmarkStart w:id="867" w:name="Tc_vENj8AId8kuTfNBZl6ET2Q_1_11"/>
      <w:bookmarkStart w:id="868" w:name="Tc_m8kfestAJ06O98qnc5L_Tg_1_2"/>
      <w:bookmarkStart w:id="869" w:name="_4fc5f0f7_811b_4eec_b1ab_0d5073f6a58c"/>
      <w:bookmarkStart w:id="870" w:name="Tc_9Qv11hSMy0GT0bD8YUphAw_5_17"/>
      <w:bookmarkStart w:id="871" w:name="Tc_CpNQ5xeBn0eNGcyoWFS_ew_5_14"/>
      <w:bookmarkStart w:id="872" w:name="Tc_ySMEP30K0UWqGN0-o4OzeQ_5_11"/>
      <w:bookmarkStart w:id="873" w:name="Tc_CormChUVl0OueXZlP92IdA_5_8"/>
      <w:bookmarkStart w:id="874" w:name="Tc_Qwj3J73fF0Oj7NOnDkk9ZA_5_5"/>
      <w:bookmarkStart w:id="875" w:name="Tc_1KNtv1V4MkS7kVRz7hjISQ_5_2"/>
      <w:bookmarkStart w:id="876" w:name="Tc_1f40bBdG7kqocIvFQOSUwQ_5_0"/>
      <w:bookmarkStart w:id="877" w:name="Tc_fesNRhfu9EKTvyrjWYwKng_4_0"/>
      <w:bookmarkStart w:id="878" w:name="Tc_fIpt0ZXjjUCXzZvJvgcYzA_3_17"/>
      <w:bookmarkStart w:id="879" w:name="Tc_C2MsfZUGiUyOGBYvRyDDrg_3_14"/>
      <w:bookmarkStart w:id="880" w:name="Tc_1w3MBvuI4UiCVNOLSwypXw_3_11"/>
      <w:bookmarkStart w:id="881" w:name="Tc_8bpdOXsAO0-PxbPQg2olag_3_8"/>
      <w:bookmarkStart w:id="882" w:name="Tc_d5sQWnjMUUukorLuX-6V8A_3_5"/>
      <w:bookmarkStart w:id="883" w:name="Tc_DqxZBGJtNkyn6jB9nK1INQ_3_2"/>
      <w:bookmarkStart w:id="884" w:name="Tc_L3Hr5k7tnkuKO6rqVXGnOA_3_0"/>
      <w:bookmarkStart w:id="885" w:name="Tc_fOI9-kwQJEGXs72I86i_6Q_2_17"/>
      <w:bookmarkStart w:id="886" w:name="Tc_I08MqubG5U2cdk-MjhdBhw_2_14"/>
      <w:bookmarkStart w:id="887" w:name="Tc_K0m1CiQtU0mdLPQ4maWfqQ_2_11"/>
      <w:bookmarkStart w:id="888" w:name="Tc_R1KKAqmRS0KrGZGUrzuouQ_2_8"/>
      <w:bookmarkStart w:id="889" w:name="Tc_eIMxBTMlskOc7avqxhpASA_2_5"/>
      <w:bookmarkStart w:id="890" w:name="Tc_cNVCOmWPkE6gPDofoAhGWg_2_2"/>
      <w:bookmarkStart w:id="891" w:name="Tc_VCGtdbQaAE-uapD4QCzHWQ_1_11"/>
      <w:bookmarkStart w:id="892" w:name="Tc_3MeLq9Sqo0WscTGqTp074g_1_2"/>
      <w:bookmarkStart w:id="893" w:name="_e2163bfb_612b_47c4_b36e_f20d6d865aa9"/>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sz w:val="20"/>
        </w:rPr>
        <w:t>liabilities” in the Condensed Consolidated Balance Sheets. As of December 27, 2025, total contract liabilities were $52,475, with $52,013 recorded as “Contract liabilities” and $462 as “Other non-current liabilities” in the Condensed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thirteen and twenty-six weeks ended June 27, 2026, the Company recognized $4,266 and $39,186 in revenue, respectively, from amounts included in contract liabilities as of December 27, 2025. During the thirteen and twenty-six weeks ended June 28, 2025, the Company recognized $32,560 and $56,943 from amounts included in contract liabilities as of December 28, 2024. This revenue reflects advance payments applied to performance obligations completed during the respective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the Company had $329 in remaining performance obligations on contracts with an original expected duration of one year or more, which are expected to be fulfilled within the next 12 to 24 months.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Disaggregated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breakdown of revenue recognized over time and at a point in time by segment for the thirteen and twenty-six weeks ended June 27, 2026 and June 28, 2025 is as follows:</w:t>
      </w:r>
    </w:p>
    <w:p>
      <w:pPr>
        <w:pStyle w:val="TextBody"/>
        <w:bidi w:val="0"/>
        <w:spacing w:before="0" w:after="0"/>
        <w:ind w:left="0" w:right="0" w:hanging="0"/>
        <w:jc w:val="left"/>
        <w:rPr/>
      </w:pPr>
      <w:r>
        <w:rPr/>
        <w:t>​</w:t>
      </w:r>
    </w:p>
    <w:tbl>
      <w:tblPr>
        <w:tblW w:w="8167" w:type="dxa"/>
        <w:jc w:val="left"/>
        <w:tblInd w:w="0" w:type="dxa"/>
        <w:tblLayout w:type="fixed"/>
        <w:tblCellMar>
          <w:top w:w="0" w:type="dxa"/>
          <w:left w:w="0" w:type="dxa"/>
          <w:bottom w:w="0" w:type="dxa"/>
          <w:right w:w="0" w:type="dxa"/>
        </w:tblCellMar>
      </w:tblPr>
      <w:tblGrid>
        <w:gridCol w:w="1126"/>
        <w:gridCol w:w="346"/>
        <w:gridCol w:w="242"/>
        <w:gridCol w:w="853"/>
        <w:gridCol w:w="109"/>
        <w:gridCol w:w="196"/>
        <w:gridCol w:w="691"/>
        <w:gridCol w:w="109"/>
        <w:gridCol w:w="196"/>
        <w:gridCol w:w="826"/>
        <w:gridCol w:w="146"/>
        <w:gridCol w:w="210"/>
        <w:gridCol w:w="885"/>
        <w:gridCol w:w="109"/>
        <w:gridCol w:w="196"/>
        <w:gridCol w:w="691"/>
        <w:gridCol w:w="109"/>
        <w:gridCol w:w="196"/>
        <w:gridCol w:w="931"/>
      </w:tblGrid>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June 27, 2026</w:t>
            </w:r>
          </w:p>
        </w:tc>
        <w:tc>
          <w:tcPr>
            <w:tcW w:w="146" w:type="dxa"/>
            <w:tcBorders/>
            <w:vAlign w:val="center"/>
          </w:tcPr>
          <w:p>
            <w:pPr>
              <w:pStyle w:val="TableContents"/>
              <w:bidi w:val="0"/>
              <w:spacing w:before="0" w:after="1"/>
              <w:ind w:left="0" w:right="0" w:hanging="0"/>
              <w:jc w:val="center"/>
              <w:rPr/>
            </w:pPr>
            <w:r>
              <w:rPr/>
              <w:t> </w:t>
            </w:r>
          </w:p>
        </w:tc>
        <w:tc>
          <w:tcPr>
            <w:tcW w:w="332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 June 27, 2026</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c>
          <w:tcPr>
            <w:tcW w:w="146" w:type="dxa"/>
            <w:tcBorders/>
            <w:vAlign w:val="center"/>
          </w:tcPr>
          <w:p>
            <w:pPr>
              <w:pStyle w:val="TableContents"/>
              <w:bidi w:val="0"/>
              <w:spacing w:before="0" w:after="1"/>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109"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422,423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454,295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876,718</w:t>
            </w:r>
          </w:p>
        </w:tc>
        <w:tc>
          <w:tcPr>
            <w:tcW w:w="1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804,134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875,764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1,679,898</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233,138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241,971</w:t>
            </w:r>
          </w:p>
        </w:tc>
        <w:tc>
          <w:tcPr>
            <w:tcW w:w="1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450,693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17,295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467,988</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655,561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463,128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1,118,689</w:t>
            </w:r>
          </w:p>
        </w:tc>
        <w:tc>
          <w:tcPr>
            <w:tcW w:w="146"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1,254,827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893,059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2,147,886</w:t>
            </w:r>
          </w:p>
        </w:tc>
      </w:tr>
    </w:tbl>
    <w:p>
      <w:pPr>
        <w:pStyle w:val="TextBody"/>
        <w:bidi w:val="0"/>
        <w:spacing w:before="0" w:after="240"/>
        <w:ind w:left="0" w:right="0" w:hanging="0"/>
        <w:jc w:val="left"/>
        <w:rPr/>
      </w:pPr>
      <w:r>
        <w:rPr/>
        <w:t>​</w:t>
      </w:r>
    </w:p>
    <w:tbl>
      <w:tblPr>
        <w:tblW w:w="8367" w:type="dxa"/>
        <w:jc w:val="left"/>
        <w:tblInd w:w="0" w:type="dxa"/>
        <w:tblLayout w:type="fixed"/>
        <w:tblCellMar>
          <w:top w:w="0" w:type="dxa"/>
          <w:left w:w="0" w:type="dxa"/>
          <w:bottom w:w="0" w:type="dxa"/>
          <w:right w:w="0" w:type="dxa"/>
        </w:tblCellMar>
      </w:tblPr>
      <w:tblGrid>
        <w:gridCol w:w="1126"/>
        <w:gridCol w:w="109"/>
        <w:gridCol w:w="242"/>
        <w:gridCol w:w="853"/>
        <w:gridCol w:w="109"/>
        <w:gridCol w:w="196"/>
        <w:gridCol w:w="691"/>
        <w:gridCol w:w="346"/>
        <w:gridCol w:w="196"/>
        <w:gridCol w:w="826"/>
        <w:gridCol w:w="109"/>
        <w:gridCol w:w="210"/>
        <w:gridCol w:w="885"/>
        <w:gridCol w:w="109"/>
        <w:gridCol w:w="196"/>
        <w:gridCol w:w="691"/>
        <w:gridCol w:w="346"/>
        <w:gridCol w:w="196"/>
        <w:gridCol w:w="931"/>
      </w:tblGrid>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5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c>
          <w:tcPr>
            <w:tcW w:w="109" w:type="dxa"/>
            <w:tcBorders/>
            <w:vAlign w:val="center"/>
          </w:tcPr>
          <w:p>
            <w:pPr>
              <w:pStyle w:val="TableContents"/>
              <w:bidi w:val="0"/>
              <w:spacing w:before="0" w:after="1"/>
              <w:ind w:left="0" w:right="0" w:hanging="0"/>
              <w:jc w:val="center"/>
              <w:rPr/>
            </w:pPr>
            <w:r>
              <w:rPr/>
              <w:t>​</w:t>
            </w:r>
          </w:p>
        </w:tc>
        <w:tc>
          <w:tcPr>
            <w:tcW w:w="35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c>
          <w:tcPr>
            <w:tcW w:w="109" w:type="dxa"/>
            <w:tcBorders/>
            <w:vAlign w:val="center"/>
          </w:tcPr>
          <w:p>
            <w:pPr>
              <w:pStyle w:val="TableContents"/>
              <w:bidi w:val="0"/>
              <w:spacing w:before="0" w:after="1"/>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Total</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423,581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339,511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763,092</w:t>
            </w:r>
          </w:p>
        </w:tc>
        <w:tc>
          <w:tcPr>
            <w:tcW w:w="109" w:type="dxa"/>
            <w:tcBorders/>
            <w:shd w:fill="CCEEFF" w:val="clear"/>
            <w:vAlign w:val="center"/>
          </w:tcPr>
          <w:p>
            <w:pPr>
              <w:pStyle w:val="TableContents"/>
              <w:bidi w:val="0"/>
              <w:spacing w:before="0" w:after="1"/>
              <w:ind w:left="0" w:right="0" w:hanging="0"/>
              <w:jc w:val="righ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789,724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676,859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1,466,583</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279,000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8,456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287,456</w:t>
            </w:r>
          </w:p>
        </w:tc>
        <w:tc>
          <w:tcPr>
            <w:tcW w:w="109" w:type="dxa"/>
            <w:tcBorders/>
            <w:vAlign w:val="center"/>
          </w:tcPr>
          <w:p>
            <w:pPr>
              <w:pStyle w:val="TableContents"/>
              <w:bidi w:val="0"/>
              <w:spacing w:before="0" w:after="1"/>
              <w:ind w:left="0" w:right="0" w:hanging="0"/>
              <w:jc w:val="righ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537,703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553,279</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702,581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347,967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1,050,548</w:t>
            </w:r>
          </w:p>
        </w:tc>
        <w:tc>
          <w:tcPr>
            <w:tcW w:w="109" w:type="dxa"/>
            <w:tcBorders/>
            <w:shd w:fill="CCEEFF" w:val="clear"/>
            <w:vAlign w:val="center"/>
          </w:tcPr>
          <w:p>
            <w:pPr>
              <w:pStyle w:val="TableContents"/>
              <w:bidi w:val="0"/>
              <w:spacing w:before="0" w:after="1"/>
              <w:ind w:left="0" w:right="0" w:hanging="0"/>
              <w:jc w:val="righ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1,327,427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692,435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2,019,862</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shd w:fill="FFFF00" w:val="clear"/>
        </w:rPr>
      </w:pPr>
      <w:r>
        <w:rPr>
          <w:shd w:fill="FFFF00" w:val="clea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(3) ACQUISITIONS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of Businesses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On January 12, 2026, the Company acquired the remaining 80% ownership interest in RMDS Innovation, Inc., a Quebec-based technology company, for total purchase consideration of approximately $15,428, including working capital adjustments. The consideration transferred was denominated in Canadian dollars and translated into U.S. dollars using the spot exchange rate in effect on the acquisition date. The consideration transferred included contingent consideration with an acquisition-date fair value of approximately $2,481, payable in two future earn-out installments based on the achievement of specified performance targets. The contingent consideration is classified as a liability and recorded in “Other non-current liabilities” in the Condensed Consolidated Balance Sheets. In connection with the acquisition, in the first quarter of fiscal 2026, the Company remeasured its previously held equity method investment to fair value as of the acquisition date and recognized a gain of approximately $1,557 within “</w:t>
      </w:r>
      <w:r>
        <w:rPr>
          <w:rFonts w:ascii="Times New Roman;Times;serif" w:hAnsi="Times New Roman;Times;serif"/>
          <w:b w:val="false"/>
          <w:i w:val="false"/>
          <w:caps w:val="false"/>
          <w:smallCaps w:val="false"/>
          <w:sz w:val="20"/>
        </w:rPr>
        <w:t>Other</w:t>
      </w:r>
      <w:r>
        <w:rPr>
          <w:rFonts w:ascii="Times New Roman;Times;serif" w:hAnsi="Times New Roman;Times;serif"/>
          <w:sz w:val="20"/>
        </w:rPr>
        <w:t xml:space="preserve">, net” in the Condensed Consolidated Statements of Earnings.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purchase price allocation is preliminary and subject to adjustment within the one-year measurement period as additional information becomes available. Approximately $15,095 of the purchase price has been classified as goodwill, which is not deductible for income tax purposes and is included in the Agriculture segment. The amounts allocated to goodwill were primarily attributable to anticipated synergies and other intangibles that do not qualify for separate recognition, such as an assembled workforce.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results of this acquisition are included in the Agriculture segment and were not material to the Condensed Consolidated Statements of Operations for the thirteen and twenty-six weeks ended June 27,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of Redeemable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Solbras Energia Solar do Brasil S.A. to acquire the remaining 45% ownership interest and entered into a revised shareholder purchase agreement with a final redemption amount of approximately 79,000 Brazilian reais ($14,246 U.S. dollars). Payment of this amount was made in the fourth quarter of fiscal 2025, thereby settling the related redeemable noncontrolling interest. The redemption resulted in an increase to “Retained earnings” of approximately $11,997.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ConcealFab, Inc. to acquire the remaining 40% ownership interest outside of the existing redemption rights period. The Company entered into revised shareholder purchase agreements with each minority shareholder for an aggregate purchase price of approximately $81,822. Approximately $72,900 of this amount was paid during the fourth quarter of fiscal 2025 and approximately $8,922 was paid during the first quarter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third quarter of fiscal 2025, following the exercise of put options by the minority shareholders, the Company acquired an additional approximately 30% ownership interest of Valmont Irrigation Argentina B.V. for $14,624.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transactions involved acquiring additional shares of consolidated subsidiaries without resulting in changes in control.</w:t>
      </w:r>
    </w:p>
    <w:p>
      <w:pPr>
        <w:pStyle w:val="TextBody"/>
        <w:bidi w:val="0"/>
        <w:spacing w:before="0" w:after="240"/>
        <w:ind w:left="0" w:right="0" w:hanging="0"/>
        <w:jc w:val="left"/>
        <w:rPr>
          <w:rFonts w:ascii="Times New Roman;Times;serif" w:hAnsi="Times New Roman;Times;serif"/>
          <w:b/>
          <w:sz w:val="20"/>
        </w:rPr>
      </w:pPr>
      <w:bookmarkStart w:id="894" w:name="Narr_HyieCXHa4UasvMGP5povnw"/>
      <w:bookmarkStart w:id="895" w:name="Tc_UL3YTtQpLkmErE62gaUQfQ_6_5"/>
      <w:bookmarkStart w:id="896" w:name="Tc_7CQueq7WL0KsrYG9JZxn4w_6_2"/>
      <w:bookmarkStart w:id="897" w:name="Tc_Hi3UQx3qpkuBgj-1bzNhZg_6_0"/>
      <w:bookmarkStart w:id="898" w:name="Tc_4_ihATmfhEqp1mRw_2xITg_5_0"/>
      <w:bookmarkStart w:id="899" w:name="Tc_5PBU1SVYfUqYoQ6JgUtciw_4_0"/>
      <w:bookmarkStart w:id="900" w:name="Tc_7JrkJdSYXU267rFhMx8R3Q_3_5"/>
      <w:bookmarkStart w:id="901" w:name="Tc_CLzTnD9nPEaPpyuPKoxjOg_3_2"/>
      <w:bookmarkStart w:id="902" w:name="Tc_iLJKQu-ou0Ceooj2q5TT6g_3_0"/>
      <w:bookmarkStart w:id="903" w:name="Tc_Mbf0OtFxV06YQCpYyxuzgQ_2_5"/>
      <w:bookmarkStart w:id="904" w:name="Tc_nGJ6uOeCXk6QlnevuFY2ZA_2_2"/>
      <w:bookmarkStart w:id="905" w:name="Tc_-N4EpWTWG0KcCWoe471n-A_1_5"/>
      <w:bookmarkStart w:id="906" w:name="Tc_NLM7gFWga0-PkzAda98Tfg_1_2"/>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Times New Roman;Times;serif" w:hAnsi="Times New Roman;Times;serif"/>
          <w:b/>
          <w:sz w:val="20"/>
        </w:rPr>
        <w:t>(4) 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are valued at the lower of cost or net realizable value. Cost is determined using either the first-in, first-out method or the weighted average cost method, depending on inventory management practices at each location. As of June 27, 2026 and December 27, 2025, inventories, net of reserves, consisted of the following:</w:t>
      </w:r>
    </w:p>
    <w:p>
      <w:pPr>
        <w:pStyle w:val="TextBody"/>
        <w:bidi w:val="0"/>
        <w:spacing w:before="0" w:after="0"/>
        <w:ind w:left="0" w:right="0" w:hanging="0"/>
        <w:jc w:val="left"/>
        <w:rPr/>
      </w:pPr>
      <w:r>
        <w:rPr/>
        <w:t>​</w:t>
      </w:r>
    </w:p>
    <w:tbl>
      <w:tblPr>
        <w:tblW w:w="5108" w:type="dxa"/>
        <w:jc w:val="left"/>
        <w:tblInd w:w="0" w:type="dxa"/>
        <w:tblLayout w:type="fixed"/>
        <w:tblCellMar>
          <w:top w:w="0" w:type="dxa"/>
          <w:left w:w="0" w:type="dxa"/>
          <w:bottom w:w="0" w:type="dxa"/>
          <w:right w:w="0" w:type="dxa"/>
        </w:tblCellMar>
      </w:tblPr>
      <w:tblGrid>
        <w:gridCol w:w="2581"/>
        <w:gridCol w:w="109"/>
        <w:gridCol w:w="196"/>
        <w:gridCol w:w="691"/>
        <w:gridCol w:w="346"/>
        <w:gridCol w:w="234"/>
        <w:gridCol w:w="951"/>
      </w:tblGrid>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Raw materials and purchased parts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336,427</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253,594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42,923</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36,388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Finished and manufactured goods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229,492</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276,414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inventories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608,842</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566,396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the Company’s inventory reserves were $62,461 and $68,001, respectively.</w:t>
      </w:r>
    </w:p>
    <w:p>
      <w:pPr>
        <w:pStyle w:val="TextBody"/>
        <w:bidi w:val="0"/>
        <w:spacing w:before="0" w:after="240"/>
        <w:ind w:left="0" w:right="0" w:hanging="0"/>
        <w:jc w:val="left"/>
        <w:rPr>
          <w:rFonts w:ascii="Times New Roman;Times;serif" w:hAnsi="Times New Roman;Times;serif"/>
          <w:b/>
          <w:sz w:val="20"/>
        </w:rPr>
      </w:pPr>
      <w:bookmarkStart w:id="907" w:name="Tc_P6cjgz9LrUa9nlLojxJrGw_7_8"/>
      <w:bookmarkStart w:id="908" w:name="Tc_POa_arEkF0GwaX4PE4wYUQ_7_5"/>
      <w:bookmarkStart w:id="909" w:name="Tc_WzMDx3Mm3Eysc19drApVZQ_7_2"/>
      <w:bookmarkStart w:id="910" w:name="Tc_6LwpQafE-EaJEfuvSdnVXA_7_0"/>
      <w:bookmarkStart w:id="911" w:name="Tc_yZQX5JZ_LUu7fh_GmRelfA_6_0"/>
      <w:bookmarkStart w:id="912" w:name="Tc_P1TZv3l8okS1pv6AJTh2Fw_5_3"/>
      <w:bookmarkStart w:id="913" w:name="Tc_B3vLxS10WkO5eIIKDWPG1Q_5_0"/>
      <w:bookmarkStart w:id="914" w:name="Tc_SPiLAMP_bkKnxanfkeQORA_4_0"/>
      <w:bookmarkStart w:id="915" w:name="Tc_Wk4GlRb3GUmPMYCGN6slvA_3_0"/>
      <w:bookmarkStart w:id="916" w:name="Tc_gxty_OMTcEK4nDyDHz0v4g_2_8"/>
      <w:bookmarkStart w:id="917" w:name="Tc_lrlt349Nr0q93KCsIqiH-A_2_5"/>
      <w:bookmarkStart w:id="918" w:name="Tc_2eSj3iH9ZEazMr4c2IqYiQ_2_2"/>
      <w:bookmarkStart w:id="919" w:name="Tc_DXBuluTd7EW9yCYPkt-VJA_2_0"/>
      <w:bookmarkStart w:id="920" w:name="Tc_x-PhO1zBtke4Lqy2mQdlbQ_1_8"/>
      <w:bookmarkStart w:id="921" w:name="Tc_Eg4wvCmZ90e8KIfp7FW7Sg_1_5"/>
      <w:bookmarkStart w:id="922" w:name="Tc_FM97-3havk6E8WehTdo37g_1_2"/>
      <w:bookmarkStart w:id="923" w:name="_1980a51d_785f_4c5b_bf05_898fe0d1274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b/>
          <w:sz w:val="20"/>
        </w:rPr>
        <w:t>(5) GOODWILL AND OTHER INTANGIBLE ASSETS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the carrying amounts of goodwill by segment were as follows:</w:t>
      </w:r>
    </w:p>
    <w:tbl>
      <w:tblPr>
        <w:tblW w:w="7269" w:type="dxa"/>
        <w:jc w:val="left"/>
        <w:tblInd w:w="0" w:type="dxa"/>
        <w:tblLayout w:type="fixed"/>
        <w:tblCellMar>
          <w:top w:w="0" w:type="dxa"/>
          <w:left w:w="0" w:type="dxa"/>
          <w:bottom w:w="0" w:type="dxa"/>
          <w:right w:w="0" w:type="dxa"/>
        </w:tblCellMar>
      </w:tblPr>
      <w:tblGrid>
        <w:gridCol w:w="2956"/>
        <w:gridCol w:w="346"/>
        <w:gridCol w:w="251"/>
        <w:gridCol w:w="965"/>
        <w:gridCol w:w="346"/>
        <w:gridCol w:w="196"/>
        <w:gridCol w:w="811"/>
        <w:gridCol w:w="346"/>
        <w:gridCol w:w="196"/>
        <w:gridCol w:w="856"/>
      </w:tblGrid>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balance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481,838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805,205</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(114,251)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(234,251)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203,367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570,954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June 27, 2026</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365,454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584,126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24" w:name="Narr_h-k0TDFkikmFkKKDJFYG2A"/>
      <w:bookmarkStart w:id="925" w:name="Narr_HeIh37RfkUOcDd1jjtJ1DQ"/>
      <w:bookmarkStart w:id="926" w:name="Narr_m9A5ETix4kqDjSfB1Kfgyw"/>
      <w:bookmarkStart w:id="927" w:name="Narr_v6b25iDJwkqgIBgo8Tb9mw"/>
      <w:bookmarkStart w:id="928" w:name="Tc_H136ydLXME26oSEGJvCeKQ_11_11"/>
      <w:bookmarkStart w:id="929" w:name="Tc_2oFtAQ2rnkuoXi8yN4J2ww_11_8"/>
      <w:bookmarkStart w:id="930" w:name="Tc_OKfiY3SRSE2fEfjq585e3g_11_5"/>
      <w:bookmarkStart w:id="931" w:name="Tc_3V86sjdKdUOpB4Jfymc6Hg_11_2"/>
      <w:bookmarkStart w:id="932" w:name="Tc_A41JQ0-J-UKzTrCg4rdYrw_10_12"/>
      <w:bookmarkStart w:id="933" w:name="Tc_XQkj9PRkRUyeIZI7tcYRuw_10_6"/>
      <w:bookmarkStart w:id="934" w:name="Tc_EVXNiUtXVk2AjMqL7zM6EQ_10_0"/>
      <w:bookmarkStart w:id="935" w:name="Tc_lSa8cLfBNU6KjNrpv3LzuQ_9_0"/>
      <w:bookmarkStart w:id="936" w:name="Tc_B4WD-6pCFE-2TP2beHNJnQ_8_0"/>
      <w:bookmarkStart w:id="937" w:name="Tc_LuBlaHszk02cFahiitRnEA_7_0"/>
      <w:bookmarkStart w:id="938" w:name="Tc_xI-arB5Lf06-_HXlBh8MSg_6_11"/>
      <w:bookmarkStart w:id="939" w:name="Tc_CBcu8S69rU6oWHvgtqn3xA_6_8"/>
      <w:bookmarkStart w:id="940" w:name="Tc_OOL_htyHpESF3C5WQXYcEw_6_5"/>
      <w:bookmarkStart w:id="941" w:name="Tc_d9pNC42xBEqUA0rNEWCOCw_6_2"/>
      <w:bookmarkStart w:id="942" w:name="Tc_EMuvgA-m2EqaEvrfGUdOIg_6_0"/>
      <w:bookmarkStart w:id="943" w:name="Tc_2oBkIXhSUEGbaQbl1eGVbw_5_0"/>
      <w:bookmarkStart w:id="944" w:name="Tc_dpkXfuJqK028iHB7txKKCg_4_11"/>
      <w:bookmarkStart w:id="945" w:name="Tc_evkNvMZp70aROGIf4MPCPA_4_8"/>
      <w:bookmarkStart w:id="946" w:name="Tc_Iqnk4fzqzkmBNNaoDxXouw_4_5"/>
      <w:bookmarkStart w:id="947" w:name="Tc_gISWqVCWgUuIYPRaQUQuyA_4_2"/>
      <w:bookmarkStart w:id="948" w:name="Tc_XW3-Xf69V0-kIClOJ0zKyw_3_11"/>
      <w:bookmarkStart w:id="949" w:name="Tc_WUI6ICq1mke1076m_HBouQ_3_8"/>
      <w:bookmarkStart w:id="950" w:name="Tc_DT1jW77beU2y22Wis7IsuA_3_5"/>
      <w:bookmarkStart w:id="951" w:name="Tc_n8OidKgmSkKbA5Ms6i1QFg_3_2"/>
      <w:bookmarkStart w:id="952" w:name="Tc_yfOH78dp7ky8KG2Yz3Id7g_2_8"/>
      <w:bookmarkStart w:id="953" w:name="Tc_NaYnhZGVM0qMuug7xAjCWg_2_2"/>
      <w:bookmarkStart w:id="954" w:name="Tc_6P3QXvS6EEKoP2D3HNtjtA_1_8"/>
      <w:bookmarkStart w:id="955" w:name="Tc_ORiHhxj2_ESFllYQEEOBXw_1_2"/>
      <w:bookmarkStart w:id="956" w:name="Tc_lMXJzhOQ50e1Uqqzlp38gA_4_8"/>
      <w:bookmarkStart w:id="957" w:name="Tc_tGnj4emjc0C6GrD6mADgQQ_4_5"/>
      <w:bookmarkStart w:id="958" w:name="Tc_8glpP6YJ3E6kSBDpsbhHxA_4_2"/>
      <w:bookmarkStart w:id="959" w:name="Tc_YtMCfpNDtU-lhop1JgJlyg_4_0"/>
      <w:bookmarkStart w:id="960" w:name="Tc_ety2n48MUEuLqO_2Cwheag_3_0"/>
      <w:bookmarkStart w:id="961" w:name="Tc_c47IirbAlEW49voj-7u8VQ_2_8"/>
      <w:bookmarkStart w:id="962" w:name="Tc_7d0VuLLHy0yj1AC-jnfHZA_2_5"/>
      <w:bookmarkStart w:id="963" w:name="Tc_WBoYXZW-R0-ncWJxNg9fow_2_2"/>
      <w:bookmarkStart w:id="964" w:name="Tc_TozldobiNEKQP1U9jz2w9Q_2_0"/>
      <w:bookmarkStart w:id="965" w:name="Tc_GzmU4jXo1kSTWKIlHUQHqg_1_8"/>
      <w:bookmarkStart w:id="966" w:name="Tc_xq7aaHRkTEu6naDfhlE5YA_1_5"/>
      <w:bookmarkStart w:id="967" w:name="Tc_ddr48asLGk6n9YPOV6qoHA_1_2"/>
      <w:bookmarkStart w:id="968" w:name="_7bb72197_487c_4d11_89c7_5dbb27eeba8e"/>
      <w:bookmarkStart w:id="969" w:name="Narr_h-k0TDFkikmFkKKDJFYG2A"/>
      <w:bookmarkStart w:id="970" w:name="Narr_HeIh37RfkUOcDd1jjtJ1DQ"/>
      <w:bookmarkStart w:id="971" w:name="Narr_m9A5ETix4kqDjSfB1Kfgyw"/>
      <w:bookmarkStart w:id="972" w:name="Narr_v6b25iDJwkqgIBgo8Tb9mw"/>
      <w:bookmarkStart w:id="973" w:name="Tc_H136ydLXME26oSEGJvCeKQ_11_11"/>
      <w:bookmarkStart w:id="974" w:name="Tc_2oFtAQ2rnkuoXi8yN4J2ww_11_8"/>
      <w:bookmarkStart w:id="975" w:name="Tc_OKfiY3SRSE2fEfjq585e3g_11_5"/>
      <w:bookmarkStart w:id="976" w:name="Tc_3V86sjdKdUOpB4Jfymc6Hg_11_2"/>
      <w:bookmarkStart w:id="977" w:name="Tc_A41JQ0-J-UKzTrCg4rdYrw_10_12"/>
      <w:bookmarkStart w:id="978" w:name="Tc_XQkj9PRkRUyeIZI7tcYRuw_10_6"/>
      <w:bookmarkStart w:id="979" w:name="Tc_EVXNiUtXVk2AjMqL7zM6EQ_10_0"/>
      <w:bookmarkStart w:id="980" w:name="Tc_lSa8cLfBNU6KjNrpv3LzuQ_9_0"/>
      <w:bookmarkStart w:id="981" w:name="Tc_B4WD-6pCFE-2TP2beHNJnQ_8_0"/>
      <w:bookmarkStart w:id="982" w:name="Tc_LuBlaHszk02cFahiitRnEA_7_0"/>
      <w:bookmarkStart w:id="983" w:name="Tc_xI-arB5Lf06-_HXlBh8MSg_6_11"/>
      <w:bookmarkStart w:id="984" w:name="Tc_CBcu8S69rU6oWHvgtqn3xA_6_8"/>
      <w:bookmarkStart w:id="985" w:name="Tc_OOL_htyHpESF3C5WQXYcEw_6_5"/>
      <w:bookmarkStart w:id="986" w:name="Tc_d9pNC42xBEqUA0rNEWCOCw_6_2"/>
      <w:bookmarkStart w:id="987" w:name="Tc_EMuvgA-m2EqaEvrfGUdOIg_6_0"/>
      <w:bookmarkStart w:id="988" w:name="Tc_2oBkIXhSUEGbaQbl1eGVbw_5_0"/>
      <w:bookmarkStart w:id="989" w:name="Tc_dpkXfuJqK028iHB7txKKCg_4_11"/>
      <w:bookmarkStart w:id="990" w:name="Tc_evkNvMZp70aROGIf4MPCPA_4_8"/>
      <w:bookmarkStart w:id="991" w:name="Tc_Iqnk4fzqzkmBNNaoDxXouw_4_5"/>
      <w:bookmarkStart w:id="992" w:name="Tc_gISWqVCWgUuIYPRaQUQuyA_4_2"/>
      <w:bookmarkStart w:id="993" w:name="Tc_XW3-Xf69V0-kIClOJ0zKyw_3_11"/>
      <w:bookmarkStart w:id="994" w:name="Tc_WUI6ICq1mke1076m_HBouQ_3_8"/>
      <w:bookmarkStart w:id="995" w:name="Tc_DT1jW77beU2y22Wis7IsuA_3_5"/>
      <w:bookmarkStart w:id="996" w:name="Tc_n8OidKgmSkKbA5Ms6i1QFg_3_2"/>
      <w:bookmarkStart w:id="997" w:name="Tc_yfOH78dp7ky8KG2Yz3Id7g_2_8"/>
      <w:bookmarkStart w:id="998" w:name="Tc_NaYnhZGVM0qMuug7xAjCWg_2_2"/>
      <w:bookmarkStart w:id="999" w:name="Tc_6P3QXvS6EEKoP2D3HNtjtA_1_8"/>
      <w:bookmarkStart w:id="1000" w:name="Tc_ORiHhxj2_ESFllYQEEOBXw_1_2"/>
      <w:bookmarkStart w:id="1001" w:name="Tc_lMXJzhOQ50e1Uqqzlp38gA_4_8"/>
      <w:bookmarkStart w:id="1002" w:name="Tc_tGnj4emjc0C6GrD6mADgQQ_4_5"/>
      <w:bookmarkStart w:id="1003" w:name="Tc_8glpP6YJ3E6kSBDpsbhHxA_4_2"/>
      <w:bookmarkStart w:id="1004" w:name="Tc_YtMCfpNDtU-lhop1JgJlyg_4_0"/>
      <w:bookmarkStart w:id="1005" w:name="Tc_ety2n48MUEuLqO_2Cwheag_3_0"/>
      <w:bookmarkStart w:id="1006" w:name="Tc_c47IirbAlEW49voj-7u8VQ_2_8"/>
      <w:bookmarkStart w:id="1007" w:name="Tc_7d0VuLLHy0yj1AC-jnfHZA_2_5"/>
      <w:bookmarkStart w:id="1008" w:name="Tc_WBoYXZW-R0-ncWJxNg9fow_2_2"/>
      <w:bookmarkStart w:id="1009" w:name="Tc_TozldobiNEKQP1U9jz2w9Q_2_0"/>
      <w:bookmarkStart w:id="1010" w:name="Tc_GzmU4jXo1kSTWKIlHUQHqg_1_8"/>
      <w:bookmarkStart w:id="1011" w:name="Tc_xq7aaHRkTEu6naDfhlE5YA_1_5"/>
      <w:bookmarkStart w:id="1012" w:name="Tc_ddr48asLGk6n9YPOV6qoHA_1_2"/>
      <w:bookmarkStart w:id="1013" w:name="_7bb72197_487c_4d11_89c7_5dbb27eeba8e"/>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tbl>
      <w:tblPr>
        <w:tblW w:w="6642" w:type="dxa"/>
        <w:jc w:val="left"/>
        <w:tblInd w:w="0" w:type="dxa"/>
        <w:tblLayout w:type="fixed"/>
        <w:tblCellMar>
          <w:top w:w="0" w:type="dxa"/>
          <w:left w:w="0" w:type="dxa"/>
          <w:bottom w:w="0" w:type="dxa"/>
          <w:right w:w="0" w:type="dxa"/>
        </w:tblCellMar>
      </w:tblPr>
      <w:tblGrid>
        <w:gridCol w:w="2566"/>
        <w:gridCol w:w="109"/>
        <w:gridCol w:w="251"/>
        <w:gridCol w:w="965"/>
        <w:gridCol w:w="346"/>
        <w:gridCol w:w="196"/>
        <w:gridCol w:w="811"/>
        <w:gridCol w:w="346"/>
        <w:gridCol w:w="196"/>
        <w:gridCol w:w="856"/>
      </w:tblGrid>
      <w:tr>
        <w:trPr/>
        <w:tc>
          <w:tcPr>
            <w:tcW w:w="2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balance as of June 27, 2026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338,672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818,377</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(114,251)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(234,251)</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June 27, 2026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365,454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584,126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second quarter of fiscal 2025, the Company identified triggering events that required interim goodwill impairment testing for certain reporting units within the Infrastructure segment. Due to the Company’s strategic exit from the North American solar tracker market, increased competitive pressures in Brazil, and uncertainty surrounding European policies, an interim goodwill impairment test was conducted for the Solar reporting unit. The carrying amount of this reporting unit exceeded its estimated fair value, resulting in a goodwill impairment charge of $41,869 within the Infrastructure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due to a reduction in forecasted sales primarily resulting from general market weakness in Australia, an interim goodwill impairment test was also performed for the Access Systems reporting unit. The carrying amount exceeded its estimated fair value, resulting in a goodwill impairment charge of $23,000 within the Infrastructure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both reporting units were estimated using a discounted cash flow analysis, which required the Company to estimate the future cash flows as well as select a risk-adjusted discount rate to measure the present value of the anticipated cash flows.</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the components of other intangible assets were as follows:</w:t>
      </w:r>
    </w:p>
    <w:p>
      <w:pPr>
        <w:pStyle w:val="TextBody"/>
        <w:bidi w:val="0"/>
        <w:spacing w:before="0" w:after="0"/>
        <w:ind w:left="0" w:right="0" w:hanging="0"/>
        <w:jc w:val="left"/>
        <w:rPr/>
      </w:pPr>
      <w:r>
        <w:rPr/>
        <w:t>​</w:t>
      </w:r>
    </w:p>
    <w:tbl>
      <w:tblPr>
        <w:tblW w:w="7836" w:type="dxa"/>
        <w:jc w:val="left"/>
        <w:tblInd w:w="0" w:type="dxa"/>
        <w:tblLayout w:type="fixed"/>
        <w:tblCellMar>
          <w:top w:w="0" w:type="dxa"/>
          <w:left w:w="0" w:type="dxa"/>
          <w:bottom w:w="0" w:type="dxa"/>
          <w:right w:w="0" w:type="dxa"/>
        </w:tblCellMar>
      </w:tblPr>
      <w:tblGrid>
        <w:gridCol w:w="2581"/>
        <w:gridCol w:w="346"/>
        <w:gridCol w:w="196"/>
        <w:gridCol w:w="691"/>
        <w:gridCol w:w="346"/>
        <w:gridCol w:w="248"/>
        <w:gridCol w:w="878"/>
        <w:gridCol w:w="146"/>
        <w:gridCol w:w="196"/>
        <w:gridCol w:w="691"/>
        <w:gridCol w:w="346"/>
        <w:gridCol w:w="231"/>
        <w:gridCol w:w="940"/>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 2026</w:t>
            </w:r>
          </w:p>
        </w:tc>
        <w:tc>
          <w:tcPr>
            <w:tcW w:w="146" w:type="dxa"/>
            <w:tcBorders/>
            <w:vAlign w:val="center"/>
          </w:tcPr>
          <w:p>
            <w:pPr>
              <w:pStyle w:val="TableContents"/>
              <w:bidi w:val="0"/>
              <w:spacing w:before="0" w:after="0"/>
              <w:ind w:left="0" w:right="0" w:hanging="0"/>
              <w:jc w:val="center"/>
              <w:rPr/>
            </w:pPr>
            <w:r>
              <w:rPr/>
              <w:t> </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 2025</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Amortizing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center"/>
              <w:rPr/>
            </w:pPr>
            <w:r>
              <w:rPr/>
              <w:t>​</w:t>
            </w:r>
          </w:p>
        </w:tc>
        <w:tc>
          <w:tcPr>
            <w:tcW w:w="878"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940" w:type="dxa"/>
            <w:tcBorders/>
            <w:shd w:fill="CCEEFF" w:val="clear"/>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relationships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218,917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168,927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219,631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165,514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Patents and proprietary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28,986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28,166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Non-amortizing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names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54,696</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55,412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303,210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186,438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303,823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182,482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weighted-average remaining useful life of amortizing intangible assets is approximately seven years. Amortization expenses were $2,678 and $5,377 for the thirteen and twenty-six weeks ended June 27, 2026, respectively, and $2,982 and $5,840 for the thirteen and twenty-six weeks ended June 28, 2025, respectively. Amortization expense is expected to average $8,313 annually over the next five fiscal years, based on amortizing intangible assets reported as of June 27, 2026.</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In the second quarter of fiscal 2025, the Company performed an impairment test on indefinite-lived trade names associated with the Solar and Access Systems reporting units. Using the relief-from-royalty method, the Company determined that the carrying amounts of the trade names exceeded their estimated fair values. As a result, </w:t>
      </w:r>
      <w:r>
        <w:rPr>
          <w:rFonts w:ascii="Times New Roman;Times;serif" w:hAnsi="Times New Roman;Times;serif"/>
          <w:b w:val="false"/>
          <w:i w:val="false"/>
          <w:caps w:val="false"/>
          <w:smallCaps w:val="false"/>
          <w:sz w:val="20"/>
        </w:rPr>
        <w:t>impairment charges</w:t>
      </w:r>
      <w:r>
        <w:rPr>
          <w:rFonts w:ascii="Times New Roman;Times;serif" w:hAnsi="Times New Roman;Times;serif"/>
          <w:sz w:val="20"/>
        </w:rPr>
        <w:t xml:space="preserve"> of $4,830 were recognized within the Infrastructure segment.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in the second quarter of fiscal 2025, an </w:t>
      </w:r>
      <w:r>
        <w:rPr>
          <w:rFonts w:ascii="Times New Roman;Times;serif" w:hAnsi="Times New Roman;Times;serif"/>
          <w:b w:val="false"/>
          <w:i w:val="false"/>
          <w:caps w:val="false"/>
          <w:smallCaps w:val="false"/>
          <w:sz w:val="20"/>
        </w:rPr>
        <w:t>impairment charge</w:t>
      </w:r>
      <w:r>
        <w:rPr>
          <w:rFonts w:ascii="Times New Roman;Times;serif" w:hAnsi="Times New Roman;Times;serif"/>
          <w:sz w:val="20"/>
        </w:rPr>
        <w:t xml:space="preserve"> of $1,395 was recognized within the Agriculture segment for a customer relationship intangible asset that was determined not to be recoverable.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014" w:name="Tc_mP25qtyLFUSd-CA2NEG6HA_5_9"/>
      <w:bookmarkStart w:id="1015" w:name="Tc_5_nUpgc_VEKexZDSZQ0X-w_5_5"/>
      <w:bookmarkStart w:id="1016" w:name="Tc_yruzAJ4AV0a_JzfYWcGoUA_5_2"/>
      <w:bookmarkStart w:id="1017" w:name="Tc_55GuMuQmZESYDLTEn2oSVA_5_0"/>
      <w:bookmarkStart w:id="1018" w:name="Tc_zTwNXputYUy-EU_RVg0hrg_4_9"/>
      <w:bookmarkStart w:id="1019" w:name="Tc_MqGAgEHpTkuB3PCBghgMtQ_4_5"/>
      <w:bookmarkStart w:id="1020" w:name="Tc_xYl_fEuQ6ESdZbG6w6YNWw_4_2"/>
      <w:bookmarkStart w:id="1021" w:name="Tc_HyZ_8Tf5iUaVPuqq7hMnyA_4_0"/>
      <w:bookmarkStart w:id="1022" w:name="Tc_N60MDcXnB0ajXZwuBYE2oA_3_9"/>
      <w:bookmarkStart w:id="1023" w:name="Tc_q92ParJbLkWmNPqgt1xgFA_3_5"/>
      <w:bookmarkStart w:id="1024" w:name="Tc_-VJBxr7k3UuwjfVXb7JRiQ_3_2"/>
      <w:bookmarkStart w:id="1025" w:name="Tc_UgRf7yZI4k6XF12FMid7Qw_3_0"/>
      <w:bookmarkStart w:id="1026" w:name="Tc_4QQkwSTz4k2U5Qykhee5aQ_2_9"/>
      <w:bookmarkStart w:id="1027" w:name="Tc_rqyiEanK-kG0X5YDSnPSPQ_2_7"/>
      <w:bookmarkStart w:id="1028" w:name="Tc_rTruEVCbqk2nkn2zpThnjQ_2_5"/>
      <w:bookmarkStart w:id="1029" w:name="Tc_DAOS4c3ii0KCMpFrfT4slw_2_2"/>
      <w:bookmarkStart w:id="1030" w:name="Tc_xhDwpdpVJEeKshzApEYBFg_2_0"/>
      <w:bookmarkStart w:id="1031" w:name="Tc_mt3Fore9sEyQ9nQpz6JRcQ_1_9"/>
      <w:bookmarkStart w:id="1032" w:name="Tc_a5-2oGJOPEio2nzSjW424A_1_7"/>
      <w:bookmarkStart w:id="1033" w:name="Tc_JeEjQuwpjE6dL8W_JSNM5w_1_2"/>
      <w:bookmarkStart w:id="1034" w:name="_7c55438e_483c_4784_bcfb_bdf0cfb9171b"/>
      <w:bookmarkStart w:id="1035" w:name="Tc_dP667Os0XUid5jcPqLXiEg_6_7"/>
      <w:bookmarkStart w:id="1036" w:name="Tc_qQ6ug7Q8YU2w9cnlpkLPhg_6_5"/>
      <w:bookmarkStart w:id="1037" w:name="Tc_ZluFYqOr8k2I4WBh69-eHw_6_0"/>
      <w:bookmarkStart w:id="1038" w:name="Tc_dXEwyGsrtUm2gRcvmCj5CQ_5_7"/>
      <w:bookmarkStart w:id="1039" w:name="Tc_JVOnI188gkiJWNBZmAke8Q_5_5"/>
      <w:bookmarkStart w:id="1040" w:name="Tc_MTU3qr5RsUKvpkgAId_baw_5_0"/>
      <w:bookmarkStart w:id="1041" w:name="Tc_xzm6RYFjaE2pvod20Yfk3g_4_7"/>
      <w:bookmarkStart w:id="1042" w:name="Tc_ZB6_03TL_UWcwAx4iQ_uSA_4_5"/>
      <w:bookmarkStart w:id="1043" w:name="Tc_9gMb7SvKGkyn7hrrRPh_yw_4_0"/>
      <w:bookmarkStart w:id="1044" w:name="Tc_P8Z6fyZiXUemtqbw05VziQ_3_7"/>
      <w:bookmarkStart w:id="1045" w:name="Tc_jDfwG4CWwk6FDJ2pAT80jw_3_5"/>
      <w:bookmarkStart w:id="1046" w:name="Tc_2YRoh63MlECtMC6kVeX4Jw_3_2"/>
      <w:bookmarkStart w:id="1047" w:name="Tc__TuD_zHRikKVUZ8sQX3zyA_3_0"/>
      <w:bookmarkStart w:id="1048" w:name="Tc_bS6O5XEprkSaoI9EBc8AVg_2_7"/>
      <w:bookmarkStart w:id="1049" w:name="Tc_B_uaVRWZSECLHK5ZHgLSfQ_2_5"/>
      <w:bookmarkStart w:id="1050" w:name="Tc_GHMk-dFPrEK7CNwdqDWTLA_2_2"/>
      <w:bookmarkStart w:id="1051" w:name="Tc_z72YaLPIBEafcDHWK6OhSA_2_0"/>
      <w:bookmarkStart w:id="1052" w:name="Tc_gSFPcuhtjUeBZxCW8QRgIQ_1_5"/>
      <w:bookmarkStart w:id="1053" w:name="Tc_yZA70Hjea02IIOCv7Pad3w_1_2"/>
      <w:bookmarkStart w:id="1054" w:name="Tc_9emukI-J4kaQFPxTF9fcvA_7_13"/>
      <w:bookmarkStart w:id="1055" w:name="Tc_yWDyFoMmh0uF1BKjbqfDeg_7_10"/>
      <w:bookmarkStart w:id="1056" w:name="Tc_1RFrt2_5MEOEm0Cv0RvdSw_7_7"/>
      <w:bookmarkStart w:id="1057" w:name="Tc_ZUXP2j_6nECI6ci3nf_IOw_7_4"/>
      <w:bookmarkStart w:id="1058" w:name="Tc_E8c2t6dqUkSPsPbnGUTZGA_6_0"/>
      <w:bookmarkStart w:id="1059" w:name="Tc_QZNmHBFlj0-TO5CVG07ulQ_5_0"/>
      <w:bookmarkStart w:id="1060" w:name="Tc_Q-sUGhrFVEKSIiDVgx6A4A_4_13"/>
      <w:bookmarkStart w:id="1061" w:name="Tc_RCCi6YpPOE-5526-bbZBwg_4_10"/>
      <w:bookmarkStart w:id="1062" w:name="Tc_sDE_G9EtF02NRyH1PzbuLw_4_7"/>
      <w:bookmarkStart w:id="1063" w:name="Tc_2qUT5gKz2Uegdnkiuk2VBQ_4_4"/>
      <w:bookmarkStart w:id="1064" w:name="Tc_NkTMJw4ZFkqKM2YCR9LChw_4_0"/>
      <w:bookmarkStart w:id="1065" w:name="Tc_A1z2U5DCjk6I5VhuI93X8w_3_13"/>
      <w:bookmarkStart w:id="1066" w:name="Tc_7VXRNuHy4UOvUWz5-ZIXXw_3_10"/>
      <w:bookmarkStart w:id="1067" w:name="Tc_t3rcxCFOjUu7YU6xJK8CyQ_3_7"/>
      <w:bookmarkStart w:id="1068" w:name="Tc_jD2RcYgJg0yEOLLDIIaA4Q_3_4"/>
      <w:bookmarkStart w:id="1069" w:name="Tc_2p4AUMv3Hk2BvVmjcYd-Rg_3_2"/>
      <w:bookmarkStart w:id="1070" w:name="Tc_T-oAi7ay30O5YdfnhCP7zw_3_0"/>
      <w:bookmarkStart w:id="1071" w:name="Tc_fZMoQuObWEuhnpAI7opQiw_2_13"/>
      <w:bookmarkStart w:id="1072" w:name="Tc_kCrWT1Ce-UuvpMPQBcf27g_2_10"/>
      <w:bookmarkStart w:id="1073" w:name="Tc_pkJZJk18nk24INsf5kVqpA_2_7"/>
      <w:bookmarkStart w:id="1074" w:name="Tc_PlcTPwB280C7GKl8QmRfZw_2_4"/>
      <w:bookmarkStart w:id="1075" w:name="Tc_-xsey6rVU0mSTEqxPanxUA_2_2"/>
      <w:bookmarkStart w:id="1076" w:name="Tc_SVF0pM4JJkW-zSaHS9XIgw_1_10"/>
      <w:bookmarkStart w:id="1077" w:name="Tc_k1v3V63qCUS4m0go1Jqi5g_1_4"/>
      <w:bookmarkStart w:id="1078" w:name="Tc_JA5UH_bQPEaMTpqkr32a4g_1_2"/>
      <w:bookmarkStart w:id="1079" w:name="Tc_BKXLMYtY-UK_R77qeku4DQ_7_7"/>
      <w:bookmarkStart w:id="1080" w:name="Tc_MmcREyCYuEiSzYU_lDAbYQ_7_4"/>
      <w:bookmarkStart w:id="1081" w:name="Tc_7Rgy170CjEaV0YPj7fQE_w_6_2"/>
      <w:bookmarkStart w:id="1082" w:name="Tc_tO0wK-SIkUaDH0bWA6zIjg_6_0"/>
      <w:bookmarkStart w:id="1083" w:name="Tc_Fpe0Q098IUe20JtNths6Pg_5_2"/>
      <w:bookmarkStart w:id="1084" w:name="Tc_hQkxKC74P0yquPYHfmJSDA_5_0"/>
      <w:bookmarkStart w:id="1085" w:name="Tc_GSAsVS-XsU62-Ebzl2W-jg_4_2"/>
      <w:bookmarkStart w:id="1086" w:name="Tc_ZasGmtavGkGIrb6hybDvNA_4_0"/>
      <w:bookmarkStart w:id="1087" w:name="Tc_u6-EuDEDgECsALL7SnBS3g_3_7"/>
      <w:bookmarkStart w:id="1088" w:name="Tc_IS1HZpQEwEWTPCkPBQ0gpw_3_4"/>
      <w:bookmarkStart w:id="1089" w:name="Tc_j_Wd1rDoJE6GA52b77zaWw_3_2"/>
      <w:bookmarkStart w:id="1090" w:name="Tc_tDGlibO-OEmUsX5LupRlvw_3_0"/>
      <w:bookmarkStart w:id="1091" w:name="Tc_T3eL5ZUA3kiwLXj3JuChvA_2_7"/>
      <w:bookmarkStart w:id="1092" w:name="Tc_iEUAR0IyLkS12WfIj0K2Ig_2_4"/>
      <w:bookmarkStart w:id="1093" w:name="Tc_litDNrjLSUCSWQO9gK8lpQ_2_2"/>
      <w:bookmarkStart w:id="1094" w:name="Tc_V8awVCPOPkO8xns4b5aFZg_2_0"/>
      <w:bookmarkStart w:id="1095" w:name="Tc_UzeM8O8MhkiVW6qYgEismw_1_7"/>
      <w:bookmarkStart w:id="1096" w:name="Tc_mAtZPyhcHECht4B82ijChQ_1_4"/>
      <w:bookmarkStart w:id="1097" w:name="Tc__XbxPQLbAkuyj7ZitN17kw_1_2"/>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b/>
          <w:sz w:val="20"/>
        </w:rPr>
        <w:t>(6) 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derivative instruments as of June 27, 2026 and December 27, 2025 was as follows:</w:t>
      </w:r>
    </w:p>
    <w:p>
      <w:pPr>
        <w:pStyle w:val="TextBody"/>
        <w:bidi w:val="0"/>
        <w:spacing w:before="0" w:after="0"/>
        <w:ind w:left="0" w:right="0" w:hanging="0"/>
        <w:jc w:val="left"/>
        <w:rPr/>
      </w:pPr>
      <w:r>
        <w:rPr/>
        <w:t>​</w:t>
      </w:r>
    </w:p>
    <w:tbl>
      <w:tblPr>
        <w:tblW w:w="9410" w:type="dxa"/>
        <w:jc w:val="left"/>
        <w:tblInd w:w="0" w:type="dxa"/>
        <w:tblLayout w:type="fixed"/>
        <w:tblCellMar>
          <w:top w:w="0" w:type="dxa"/>
          <w:left w:w="0" w:type="dxa"/>
          <w:bottom w:w="0" w:type="dxa"/>
          <w:right w:w="0" w:type="dxa"/>
        </w:tblCellMar>
      </w:tblPr>
      <w:tblGrid>
        <w:gridCol w:w="3751"/>
        <w:gridCol w:w="346"/>
        <w:gridCol w:w="3046"/>
        <w:gridCol w:w="109"/>
        <w:gridCol w:w="196"/>
        <w:gridCol w:w="631"/>
        <w:gridCol w:w="146"/>
        <w:gridCol w:w="286"/>
        <w:gridCol w:w="899"/>
      </w:tblGrid>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0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Condensed Consolidated</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1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 as hedging instruments:</w:t>
            </w:r>
          </w:p>
        </w:tc>
        <w:tc>
          <w:tcPr>
            <w:tcW w:w="346" w:type="dxa"/>
            <w:tcBorders/>
            <w:vAlign w:val="center"/>
          </w:tcPr>
          <w:p>
            <w:pPr>
              <w:pStyle w:val="TableContents"/>
              <w:bidi w:val="0"/>
              <w:spacing w:before="0" w:after="1"/>
              <w:ind w:left="0" w:right="0" w:hanging="0"/>
              <w:jc w:val="left"/>
              <w:rPr/>
            </w:pPr>
            <w:r>
              <w:rPr/>
              <w:t>  ​ ​ ​</w:t>
            </w:r>
          </w:p>
        </w:tc>
        <w:tc>
          <w:tcPr>
            <w:tcW w:w="30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Sheets location</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7,487</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1,590</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1,170</w:t>
            </w:r>
          </w:p>
        </w:tc>
        <w:tc>
          <w:tcPr>
            <w:tcW w:w="14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vAlign w:val="center"/>
          </w:tcPr>
          <w:p>
            <w:pPr>
              <w:pStyle w:val="TableContents"/>
              <w:bidi w:val="0"/>
              <w:spacing w:before="0" w:after="1"/>
              <w:ind w:left="0" w:right="0" w:hanging="0"/>
              <w:jc w:val="left"/>
              <w:rPr/>
            </w:pPr>
            <w:r>
              <w:rPr/>
              <w:t> </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(7,781)</w:t>
            </w:r>
          </w:p>
        </w:tc>
        <w:tc>
          <w:tcPr>
            <w:tcW w:w="146" w:type="dxa"/>
            <w:tcBorders/>
            <w:vAlign w:val="center"/>
          </w:tcPr>
          <w:p>
            <w:pPr>
              <w:pStyle w:val="TableContents"/>
              <w:bidi w:val="0"/>
              <w:spacing w:before="0" w:after="1"/>
              <w:ind w:left="0" w:right="0" w:hanging="0"/>
              <w:jc w:val="lef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(8,100)</w:t>
            </w:r>
          </w:p>
        </w:tc>
      </w:tr>
      <w:tr>
        <w:trPr/>
        <w:tc>
          <w:tcPr>
            <w:tcW w:w="3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Gains (losses) on derivatives recognized in the Condensed Consolidated Statements of Operations for the thirteen and twenty-six weeks ended June 27, 2026 and June 28, 2025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32"/>
        <w:gridCol w:w="346"/>
        <w:gridCol w:w="2030"/>
        <w:gridCol w:w="109"/>
        <w:gridCol w:w="206"/>
        <w:gridCol w:w="540"/>
        <w:gridCol w:w="350"/>
        <w:gridCol w:w="206"/>
        <w:gridCol w:w="540"/>
        <w:gridCol w:w="346"/>
        <w:gridCol w:w="218"/>
        <w:gridCol w:w="572"/>
        <w:gridCol w:w="387"/>
        <w:gridCol w:w="218"/>
        <w:gridCol w:w="605"/>
      </w:tblGrid>
      <w:tr>
        <w:trPr/>
        <w:tc>
          <w:tcPr>
            <w:tcW w:w="35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1"/>
              <w:ind w:left="0" w:right="0" w:hanging="0"/>
              <w:jc w:val="left"/>
              <w:rPr/>
            </w:pPr>
            <w:r>
              <w:rPr/>
              <w:t>​</w:t>
            </w:r>
          </w:p>
        </w:tc>
        <w:tc>
          <w:tcPr>
            <w:tcW w:w="540"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r>
      <w:tr>
        <w:trPr/>
        <w:tc>
          <w:tcPr>
            <w:tcW w:w="35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30"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Condensed Consolidated</w:t>
            </w:r>
          </w:p>
        </w:tc>
        <w:tc>
          <w:tcPr>
            <w:tcW w:w="109" w:type="dxa"/>
            <w:tcBorders/>
            <w:vAlign w:val="center"/>
          </w:tcPr>
          <w:p>
            <w:pPr>
              <w:pStyle w:val="TableContents"/>
              <w:bidi w:val="0"/>
              <w:spacing w:before="0" w:after="1"/>
              <w:ind w:left="0" w:right="0" w:hanging="0"/>
              <w:jc w:val="left"/>
              <w:rPr/>
            </w:pPr>
            <w:r>
              <w:rPr/>
              <w:t>​</w:t>
            </w:r>
          </w:p>
        </w:tc>
        <w:tc>
          <w:tcPr>
            <w:tcW w:w="18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353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Statements of</w:t>
            </w:r>
          </w:p>
        </w:tc>
        <w:tc>
          <w:tcPr>
            <w:tcW w:w="109" w:type="dxa"/>
            <w:tcBorders/>
            <w:vAlign w:val="center"/>
          </w:tcPr>
          <w:p>
            <w:pPr>
              <w:pStyle w:val="TableContents"/>
              <w:bidi w:val="0"/>
              <w:spacing w:before="0" w:after="1"/>
              <w:ind w:left="0" w:right="0" w:hanging="0"/>
              <w:jc w:val="left"/>
              <w:rPr/>
            </w:pPr>
            <w:r>
              <w:rPr/>
              <w:t>​</w:t>
            </w:r>
          </w:p>
        </w:tc>
        <w:tc>
          <w:tcPr>
            <w:tcW w:w="7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50" w:type="dxa"/>
            <w:tcBorders/>
            <w:vAlign w:val="center"/>
          </w:tcPr>
          <w:p>
            <w:pPr>
              <w:pStyle w:val="TableContents"/>
              <w:bidi w:val="0"/>
              <w:spacing w:before="0" w:after="1"/>
              <w:ind w:left="0" w:right="0" w:hanging="0"/>
              <w:jc w:val="center"/>
              <w:rPr/>
            </w:pPr>
            <w:r>
              <w:rPr/>
              <w:t>​</w:t>
            </w:r>
          </w:p>
        </w:tc>
        <w:tc>
          <w:tcPr>
            <w:tcW w:w="7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w:t>
            </w:r>
          </w:p>
        </w:tc>
        <w:tc>
          <w:tcPr>
            <w:tcW w:w="79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87" w:type="dxa"/>
            <w:tcBorders/>
            <w:vAlign w:val="center"/>
          </w:tcPr>
          <w:p>
            <w:pPr>
              <w:pStyle w:val="TableContents"/>
              <w:bidi w:val="0"/>
              <w:spacing w:before="0" w:after="1"/>
              <w:ind w:left="0" w:right="0" w:hanging="0"/>
              <w:jc w:val="center"/>
              <w:rPr/>
            </w:pPr>
            <w:r>
              <w:rPr/>
              <w:t>​</w:t>
            </w:r>
          </w:p>
        </w:tc>
        <w:tc>
          <w:tcPr>
            <w:tcW w:w="82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353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 as hedging instruments:</w:t>
            </w:r>
          </w:p>
        </w:tc>
        <w:tc>
          <w:tcPr>
            <w:tcW w:w="346" w:type="dxa"/>
            <w:tcBorders/>
            <w:vAlign w:val="center"/>
          </w:tcPr>
          <w:p>
            <w:pPr>
              <w:pStyle w:val="TableContents"/>
              <w:bidi w:val="0"/>
              <w:spacing w:before="0" w:after="1"/>
              <w:ind w:left="0" w:right="0" w:hanging="0"/>
              <w:jc w:val="left"/>
              <w:rPr/>
            </w:pPr>
            <w:r>
              <w:rPr/>
              <w:t>​</w:t>
            </w:r>
          </w:p>
        </w:tc>
        <w:tc>
          <w:tcPr>
            <w:tcW w:w="20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Operations location</w:t>
            </w:r>
          </w:p>
        </w:tc>
        <w:tc>
          <w:tcPr>
            <w:tcW w:w="109" w:type="dxa"/>
            <w:tcBorders/>
            <w:vAlign w:val="center"/>
          </w:tcPr>
          <w:p>
            <w:pPr>
              <w:pStyle w:val="TableContents"/>
              <w:bidi w:val="0"/>
              <w:spacing w:before="0" w:after="1"/>
              <w:ind w:left="0" w:right="0" w:hanging="0"/>
              <w:jc w:val="left"/>
              <w:rPr/>
            </w:pPr>
            <w:r>
              <w:rPr/>
              <w:t>​</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0" w:type="dxa"/>
            <w:tcBorders/>
            <w:vAlign w:val="center"/>
          </w:tcPr>
          <w:p>
            <w:pPr>
              <w:pStyle w:val="TableContents"/>
              <w:bidi w:val="0"/>
              <w:spacing w:before="0" w:after="1"/>
              <w:ind w:left="0" w:right="0" w:hanging="0"/>
              <w:jc w:val="left"/>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87" w:type="dxa"/>
            <w:tcBorders/>
            <w:vAlign w:val="center"/>
          </w:tcPr>
          <w:p>
            <w:pPr>
              <w:pStyle w:val="TableContents"/>
              <w:bidi w:val="0"/>
              <w:spacing w:before="0" w:after="1"/>
              <w:ind w:left="0" w:right="0" w:hanging="0"/>
              <w:jc w:val="left"/>
              <w:rPr/>
            </w:pPr>
            <w:r>
              <w:rPr/>
              <w:t>  ​ ​ ​</w:t>
            </w:r>
          </w:p>
        </w:tc>
        <w:tc>
          <w:tcPr>
            <w:tcW w:w="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53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30"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Product/service 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w:t>
            </w:r>
          </w:p>
        </w:tc>
        <w:tc>
          <w:tcPr>
            <w:tcW w:w="350"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840</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1,587</w:t>
            </w:r>
          </w:p>
        </w:tc>
        <w:tc>
          <w:tcPr>
            <w:tcW w:w="38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35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hedge amortization</w:t>
            </w:r>
          </w:p>
        </w:tc>
        <w:tc>
          <w:tcPr>
            <w:tcW w:w="346" w:type="dxa"/>
            <w:tcBorders/>
            <w:vAlign w:val="center"/>
          </w:tcPr>
          <w:p>
            <w:pPr>
              <w:pStyle w:val="TableContents"/>
              <w:bidi w:val="0"/>
              <w:spacing w:before="0" w:after="1"/>
              <w:ind w:left="0" w:right="0" w:hanging="0"/>
              <w:jc w:val="left"/>
              <w:rPr/>
            </w:pPr>
            <w:r>
              <w:rPr/>
              <w:t>​</w:t>
            </w:r>
          </w:p>
        </w:tc>
        <w:tc>
          <w:tcPr>
            <w:tcW w:w="2030"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5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50"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right"/>
              <w:rPr/>
            </w:pPr>
            <w:r>
              <w:rPr/>
              <w:t>​</w:t>
            </w:r>
          </w:p>
        </w:tc>
        <w:tc>
          <w:tcPr>
            <w:tcW w:w="5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87"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right"/>
              <w:rPr/>
            </w:pPr>
            <w:r>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353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30"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350"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986</w:t>
            </w:r>
          </w:p>
        </w:tc>
        <w:tc>
          <w:tcPr>
            <w:tcW w:w="387" w:type="dxa"/>
            <w:tcBorders/>
            <w:shd w:fill="CCEEFF" w:val="clear"/>
            <w:vAlign w:val="center"/>
          </w:tcPr>
          <w:p>
            <w:pPr>
              <w:pStyle w:val="TableContents"/>
              <w:bidi w:val="0"/>
              <w:spacing w:before="0" w:after="1"/>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w:t>
            </w:r>
          </w:p>
        </w:tc>
      </w:tr>
      <w:tr>
        <w:trPr/>
        <w:tc>
          <w:tcPr>
            <w:tcW w:w="35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1,702</w:t>
            </w:r>
          </w:p>
        </w:tc>
        <w:tc>
          <w:tcPr>
            <w:tcW w:w="350"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1,116</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2,605</w:t>
            </w:r>
          </w:p>
        </w:tc>
        <w:tc>
          <w:tcPr>
            <w:tcW w:w="387"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145</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commodity forward, swap, and option contracts to hedge variability in cash flows related to future purchases. Gains (losses) realized upon settlement are recorded in “Product cost of sales” in the Condensed Consolidated Statements of Operations in the period in which the hedged items are consumed. As of June 27, 2026, the details of these contracts were as follows:</w:t>
      </w:r>
    </w:p>
    <w:p>
      <w:pPr>
        <w:pStyle w:val="TextBody"/>
        <w:bidi w:val="0"/>
        <w:spacing w:before="0" w:after="0"/>
        <w:ind w:left="0" w:right="0" w:hanging="0"/>
        <w:jc w:val="left"/>
        <w:rPr/>
      </w:pPr>
      <w:r>
        <w:rPr/>
        <w:t>​</w:t>
      </w:r>
    </w:p>
    <w:tbl>
      <w:tblPr>
        <w:tblW w:w="7236" w:type="dxa"/>
        <w:jc w:val="left"/>
        <w:tblInd w:w="0" w:type="dxa"/>
        <w:tblLayout w:type="fixed"/>
        <w:tblCellMar>
          <w:top w:w="0" w:type="dxa"/>
          <w:left w:w="0" w:type="dxa"/>
          <w:bottom w:w="0" w:type="dxa"/>
          <w:right w:w="0" w:type="dxa"/>
        </w:tblCellMar>
      </w:tblPr>
      <w:tblGrid>
        <w:gridCol w:w="2056"/>
        <w:gridCol w:w="346"/>
        <w:gridCol w:w="196"/>
        <w:gridCol w:w="601"/>
        <w:gridCol w:w="109"/>
        <w:gridCol w:w="1546"/>
        <w:gridCol w:w="146"/>
        <w:gridCol w:w="2236"/>
      </w:tblGrid>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4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pPr>
            <w:r>
              <w:rPr/>
              <w:t>​</w: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Commodity Type</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 Quantity</w:t>
            </w:r>
          </w:p>
        </w:tc>
        <w:tc>
          <w:tcPr>
            <w:tcW w:w="146" w:type="dxa"/>
            <w:tcBorders/>
            <w:vAlign w:val="center"/>
          </w:tcPr>
          <w:p>
            <w:pPr>
              <w:pStyle w:val="TableContents"/>
              <w:bidi w:val="0"/>
              <w:spacing w:before="0" w:after="1"/>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Maturity Dates</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Hot-rolled coil steel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30,734</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27,000 short tons</w:t>
            </w:r>
          </w:p>
        </w:tc>
        <w:tc>
          <w:tcPr>
            <w:tcW w:w="146" w:type="dxa"/>
            <w:tcBorders/>
            <w:shd w:fill="CCEEFF" w:val="clear"/>
            <w:vAlign w:val="center"/>
          </w:tcPr>
          <w:p>
            <w:pPr>
              <w:pStyle w:val="TableContents"/>
              <w:bidi w:val="0"/>
              <w:spacing w:before="0" w:after="1"/>
              <w:ind w:left="0" w:right="0" w:hanging="0"/>
              <w:jc w:val="left"/>
              <w:rPr/>
            </w:pPr>
            <w:r>
              <w:rPr/>
              <w:t> </w:t>
            </w:r>
          </w:p>
        </w:tc>
        <w:tc>
          <w:tcPr>
            <w:tcW w:w="223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2026 to June 2027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105,000 MMBtu</w:t>
            </w:r>
          </w:p>
        </w:tc>
        <w:tc>
          <w:tcPr>
            <w:tcW w:w="14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July 2026 to March 2027</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Ultra-low-sulfur diesel fuel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7,371</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2,520,000 gallons</w:t>
            </w:r>
          </w:p>
        </w:tc>
        <w:tc>
          <w:tcPr>
            <w:tcW w:w="14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2026 to June 2027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Zinc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7,818</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2,280 metric tons</w:t>
            </w:r>
          </w:p>
        </w:tc>
        <w:tc>
          <w:tcPr>
            <w:tcW w:w="14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2026 to December 2027</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Net Investment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manage foreign currency risk associated with its foreign currency investments and reduce interest expenses, the Company uses fixed-for-fixed cross-currency swaps (“CCS”). These swaps convert U.S. dollar-denominated principal and interest payments on a portion of its 5.00% senior unsecured notes due in 2044 into foreign-currency</w:t>
        <w:noBreakHyphen/>
        <w:t>denominated payments. Interest payments are exchanged biannually on April 1 and October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designated the full notional amounts of its CCS as net investment hedges for certain subsidiaries under the spot method. Changes in fair value of the CCS attributable to spot exchange rates are recorded as cumulative foreign currency translation within accumulated other comprehensive loss, while net interest receipts reduce interest expense over the life of the CCS. Key terms as of June 27, 2026 were as follows:</w:t>
      </w:r>
    </w:p>
    <w:tbl>
      <w:tblPr>
        <w:tblW w:w="6372" w:type="dxa"/>
        <w:jc w:val="left"/>
        <w:tblInd w:w="0" w:type="dxa"/>
        <w:tblLayout w:type="fixed"/>
        <w:tblCellMar>
          <w:top w:w="0" w:type="dxa"/>
          <w:left w:w="0" w:type="dxa"/>
          <w:bottom w:w="0" w:type="dxa"/>
          <w:right w:w="0" w:type="dxa"/>
        </w:tblCellMar>
      </w:tblPr>
      <w:tblGrid>
        <w:gridCol w:w="1231"/>
        <w:gridCol w:w="346"/>
        <w:gridCol w:w="196"/>
        <w:gridCol w:w="601"/>
        <w:gridCol w:w="109"/>
        <w:gridCol w:w="1471"/>
        <w:gridCol w:w="146"/>
        <w:gridCol w:w="1111"/>
        <w:gridCol w:w="109"/>
        <w:gridCol w:w="316"/>
        <w:gridCol w:w="736"/>
      </w:tblGrid>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Swapped</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Settlement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Termination Date</w:t>
            </w:r>
          </w:p>
        </w:tc>
        <w:tc>
          <w:tcPr>
            <w:tcW w:w="1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 Rate</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Canadian dollar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2028</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4.0900%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54,776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Chinese yuan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2032</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3.1125%</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215,640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Euro</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1, 2029</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3.4610%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74,509</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098" w:name="Tc_2g8aQiHHhUqJExyH7xKYqQ_5_12"/>
      <w:bookmarkStart w:id="1099" w:name="Tc_0fX5gv0nAkShxf19POH2kw_5_9"/>
      <w:bookmarkStart w:id="1100" w:name="Tc_kkQFOS16O0is4TGN2Ii-6g_5_0"/>
      <w:bookmarkStart w:id="1101" w:name="Tc__iFyVejgZk--nV0yLv3dCg_4_12"/>
      <w:bookmarkStart w:id="1102" w:name="Tc_sBVa_toP30aGbXtGBxhy4w_4_6"/>
      <w:bookmarkStart w:id="1103" w:name="Tc_CN2wWpktk0yf5arJZGdQlA_4_0"/>
      <w:bookmarkStart w:id="1104" w:name="Tc_TBgTiFxIbE-mOBl03bRaQw_3_12"/>
      <w:bookmarkStart w:id="1105" w:name="Tc_MaEYZNfKOkiy28HtiE6j0Q_3_11"/>
      <w:bookmarkStart w:id="1106" w:name="Tc_DpBOJ3BqQ0avFMkABBp_5g_3_9"/>
      <w:bookmarkStart w:id="1107" w:name="Tc_rcTOGz6WP0qq1rt95Rlulg_3_8"/>
      <w:bookmarkStart w:id="1108" w:name="Tc_8YBC_W1n8ku0XXgxZ0Oi0g_3_5"/>
      <w:bookmarkStart w:id="1109" w:name="Tc_xoCft-9KX0uxxbeA6G0dgA_3_2"/>
      <w:bookmarkStart w:id="1110" w:name="Tc_M5BKVNinlEuItoitHTPaew_3_0"/>
      <w:bookmarkStart w:id="1111" w:name="Tc_S4KCCy-2JEWSN84Sh7J2lQ_2_11"/>
      <w:bookmarkStart w:id="1112" w:name="Tc_vc8CuOiQBUOGbphrFFMdIQ_2_8"/>
      <w:bookmarkStart w:id="1113" w:name="Tc_xi9_dzZAoEKcZ30qq9pz9Q_2_5"/>
      <w:bookmarkStart w:id="1114" w:name="Tc_Geg9zla4bEuv0XPEFtNkLA_2_2"/>
      <w:bookmarkStart w:id="1115" w:name="Tc_UVhj0KnDmEWRgxTGwfIFUg_1_5"/>
      <w:bookmarkStart w:id="1116" w:name="Tc_dJkGWXnli0ONWWXQ_3ipYA_1_2"/>
      <w:bookmarkStart w:id="1117" w:name="_f009c401_7d0d_44b9_824d_9c9988fc6e63"/>
      <w:bookmarkStart w:id="1118" w:name="Tc_D6tATViebEqxTOROy5Mqrg_5_12"/>
      <w:bookmarkStart w:id="1119" w:name="Tc_fVFrLA42n0y1KkyyQ-TXvA_5_9"/>
      <w:bookmarkStart w:id="1120" w:name="Tc_V2vN-zCNiEq4_AyM16Abnw_5_0"/>
      <w:bookmarkStart w:id="1121" w:name="Tc_4Q4_HDJBu0KGNAj5uU98HA_4_12"/>
      <w:bookmarkStart w:id="1122" w:name="Tc_TgCo1sppDkK-QjJg1omOOw_4_6"/>
      <w:bookmarkStart w:id="1123" w:name="Tc_YHmTiz21302xWLKUZ8s8BQ_4_0"/>
      <w:bookmarkStart w:id="1124" w:name="Tc_aaW3j3-qxECvmo_14hxhQA_3_12"/>
      <w:bookmarkStart w:id="1125" w:name="Tc_yYydpGvCeEiw-0XvCDJ0GA_3_11"/>
      <w:bookmarkStart w:id="1126" w:name="Tc_pmhV_xuJV0esXzlHe0WTUA_3_9"/>
      <w:bookmarkStart w:id="1127" w:name="Tc_S0eH0blLlEKEYAc-saDxxQ_3_8"/>
      <w:bookmarkStart w:id="1128" w:name="Tc_Pn4C7LjyGkub3ZkRo62Etw_3_5"/>
      <w:bookmarkStart w:id="1129" w:name="Tc_xW4JF6R6bECKbVZGXfxjgA_3_2"/>
      <w:bookmarkStart w:id="1130" w:name="Tc_cWyWrlIf5ESCQUIyQbKk6g_3_0"/>
      <w:bookmarkStart w:id="1131" w:name="Tc_h5TfVgqKZEOLC9ZmqJHdiw_2_11"/>
      <w:bookmarkStart w:id="1132" w:name="Tc_J3x4ouo7kke_U7sS13VypQ_2_8"/>
      <w:bookmarkStart w:id="1133" w:name="Tc_x5-gwgZUOEmmBS560i-8xA_2_5"/>
      <w:bookmarkStart w:id="1134" w:name="Tc_FCu3nZkA5UGAL8QevhBYVg_2_2"/>
      <w:bookmarkStart w:id="1135" w:name="Tc_BjKMVLy-0kiI4YOLIYB7zw_1_5"/>
      <w:bookmarkStart w:id="1136" w:name="Tc_pgOgSlFttUiayI-byZ6TcQ_1_2"/>
      <w:bookmarkStart w:id="1137" w:name="_163b23d3_2412_4335_9e60_34275416b3fc"/>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Times New Roman;Times;serif" w:hAnsi="Times New Roman;Times;serif"/>
          <w:b/>
          <w:sz w:val="20"/>
        </w:rPr>
        <w:t>(7) 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carrying values and fair value measurements of the Company’s financial assets and liabilities measured at fair value on a recurring basis as of June 27, 2026 and December 27, 2025:</w:t>
      </w:r>
    </w:p>
    <w:p>
      <w:pPr>
        <w:pStyle w:val="TextBody"/>
        <w:bidi w:val="0"/>
        <w:spacing w:before="0" w:after="0"/>
        <w:ind w:left="0" w:right="0" w:hanging="0"/>
        <w:jc w:val="left"/>
        <w:rPr/>
      </w:pPr>
      <w:r>
        <w:rPr/>
        <w:t>​</w:t>
      </w:r>
    </w:p>
    <w:tbl>
      <w:tblPr>
        <w:tblW w:w="7223" w:type="dxa"/>
        <w:jc w:val="left"/>
        <w:tblInd w:w="0" w:type="dxa"/>
        <w:tblLayout w:type="fixed"/>
        <w:tblCellMar>
          <w:top w:w="0" w:type="dxa"/>
          <w:left w:w="0" w:type="dxa"/>
          <w:bottom w:w="0" w:type="dxa"/>
          <w:right w:w="0" w:type="dxa"/>
        </w:tblCellMar>
      </w:tblPr>
      <w:tblGrid>
        <w:gridCol w:w="3091"/>
        <w:gridCol w:w="109"/>
        <w:gridCol w:w="320"/>
        <w:gridCol w:w="985"/>
        <w:gridCol w:w="109"/>
        <w:gridCol w:w="229"/>
        <w:gridCol w:w="702"/>
        <w:gridCol w:w="127"/>
        <w:gridCol w:w="229"/>
        <w:gridCol w:w="439"/>
        <w:gridCol w:w="127"/>
        <w:gridCol w:w="229"/>
        <w:gridCol w:w="527"/>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0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 2026</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27" w:type="dxa"/>
            <w:tcBorders/>
            <w:vAlign w:val="center"/>
          </w:tcPr>
          <w:p>
            <w:pPr>
              <w:pStyle w:val="TableContents"/>
              <w:bidi w:val="0"/>
              <w:spacing w:before="0" w:after="1"/>
              <w:ind w:left="0" w:right="0" w:hanging="0"/>
              <w:jc w:val="left"/>
              <w:rPr/>
            </w:pPr>
            <w:r>
              <w:rPr/>
              <w:t>​</w:t>
            </w:r>
          </w:p>
        </w:tc>
        <w:tc>
          <w:tcPr>
            <w:tcW w:w="6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27" w:type="dxa"/>
            <w:tcBorders/>
            <w:vAlign w:val="center"/>
          </w:tcPr>
          <w:p>
            <w:pPr>
              <w:pStyle w:val="TableContents"/>
              <w:bidi w:val="0"/>
              <w:spacing w:before="0" w:after="1"/>
              <w:ind w:left="0" w:right="0" w:hanging="0"/>
              <w:jc w:val="left"/>
              <w:rPr/>
            </w:pPr>
            <w:r>
              <w:rPr/>
              <w:t>​</w:t>
            </w:r>
          </w:p>
        </w:tc>
        <w:tc>
          <w:tcPr>
            <w:tcW w:w="7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30,813</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30,813</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39"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7"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6,315</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6,315</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7473" w:type="dxa"/>
        <w:jc w:val="left"/>
        <w:tblInd w:w="0" w:type="dxa"/>
        <w:tblLayout w:type="fixed"/>
        <w:tblCellMar>
          <w:top w:w="0" w:type="dxa"/>
          <w:left w:w="0" w:type="dxa"/>
          <w:bottom w:w="0" w:type="dxa"/>
          <w:right w:w="0" w:type="dxa"/>
        </w:tblCellMar>
      </w:tblPr>
      <w:tblGrid>
        <w:gridCol w:w="3091"/>
        <w:gridCol w:w="109"/>
        <w:gridCol w:w="366"/>
        <w:gridCol w:w="1179"/>
        <w:gridCol w:w="109"/>
        <w:gridCol w:w="205"/>
        <w:gridCol w:w="630"/>
        <w:gridCol w:w="114"/>
        <w:gridCol w:w="205"/>
        <w:gridCol w:w="661"/>
        <w:gridCol w:w="114"/>
        <w:gridCol w:w="208"/>
        <w:gridCol w:w="482"/>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c>
          <w:tcPr>
            <w:tcW w:w="109" w:type="dxa"/>
            <w:tcBorders/>
            <w:vAlign w:val="center"/>
          </w:tcPr>
          <w:p>
            <w:pPr>
              <w:pStyle w:val="TableContents"/>
              <w:bidi w:val="0"/>
              <w:spacing w:before="0" w:after="1"/>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14" w:type="dxa"/>
            <w:tcBorders/>
            <w:vAlign w:val="center"/>
          </w:tcPr>
          <w:p>
            <w:pPr>
              <w:pStyle w:val="TableContents"/>
              <w:bidi w:val="0"/>
              <w:spacing w:before="0" w:after="1"/>
              <w:ind w:left="0" w:right="0" w:hanging="0"/>
              <w:jc w:val="left"/>
              <w:rPr/>
            </w:pPr>
            <w:r>
              <w:rPr/>
              <w:t>​</w:t>
            </w:r>
          </w:p>
        </w:tc>
        <w:tc>
          <w:tcPr>
            <w:tcW w:w="8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14" w:type="dxa"/>
            <w:tcBorders/>
            <w:vAlign w:val="center"/>
          </w:tcPr>
          <w:p>
            <w:pPr>
              <w:pStyle w:val="TableContents"/>
              <w:bidi w:val="0"/>
              <w:spacing w:before="0" w:after="1"/>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482"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fair value redemption amounts of certain redeemable noncontrolling interests are measured on a recurring basis utilizing Level 3 inputs, including estimates of future revenue, operating margins, growth rates, and discount rates. Goodwill and other intangible assets are measured at fair value on a non-recurring basis using Level 3 inputs. Unless otherwise specified, the Company believes the carrying values of financial instruments approximate their fair values.</w:t>
      </w:r>
    </w:p>
    <w:p>
      <w:pPr>
        <w:pStyle w:val="TextBody"/>
        <w:bidi w:val="0"/>
        <w:spacing w:before="240" w:after="240"/>
        <w:ind w:left="0" w:right="0" w:firstLine="720"/>
        <w:jc w:val="left"/>
        <w:rPr>
          <w:rFonts w:ascii="Times New Roman;Times;serif" w:hAnsi="Times New Roman;Times;serif"/>
          <w:b/>
          <w:sz w:val="20"/>
        </w:rPr>
      </w:pPr>
      <w:r>
        <w:rPr>
          <w:rFonts w:ascii="Times New Roman;Times;serif" w:hAnsi="Times New Roman;Times;serif"/>
          <w:b w:val="false"/>
          <w:sz w:val="20"/>
        </w:rPr>
        <w:t>In the second quarter of fiscal 2025, the carrying values of certain long-lived assets that will no longer be utilized were reduced to their respective fair values, based on Level 3 inputs, resulting in impairment charges totaling $19,657</w:t>
      </w:r>
      <w:r>
        <w:rPr>
          <w:rFonts w:ascii="Times New Roman;Times;serif" w:hAnsi="Times New Roman;Times;serif"/>
          <w:b/>
          <w:sz w:val="20"/>
        </w:rPr>
        <w:t xml:space="preserve"> </w:t>
      </w:r>
      <w:r>
        <w:rPr>
          <w:rFonts w:ascii="Times New Roman;Times;serif" w:hAnsi="Times New Roman;Times;serif"/>
          <w:b w:val="false"/>
          <w:sz w:val="20"/>
        </w:rPr>
        <w:t>in the Infrastructure segment and $586</w:t>
      </w:r>
      <w:r>
        <w:rPr>
          <w:rFonts w:ascii="Times New Roman;Times;serif" w:hAnsi="Times New Roman;Times;serif"/>
          <w:b/>
          <w:sz w:val="20"/>
        </w:rPr>
        <w:t xml:space="preserve"> </w:t>
      </w:r>
      <w:r>
        <w:rPr>
          <w:rFonts w:ascii="Times New Roman;Times;serif" w:hAnsi="Times New Roman;Times;serif"/>
          <w:b w:val="false"/>
          <w:sz w:val="20"/>
        </w:rPr>
        <w:t>in the Agriculture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138" w:name="Tc_CXcVEdENUEGo3tu_Ed73-w_15_11"/>
      <w:bookmarkStart w:id="1139" w:name="Tc_Jda-zWLLskS2TgEZsZOf5w_15_8"/>
      <w:bookmarkStart w:id="1140" w:name="Tc_59QY3I5u5E2nUxoFkzflog_15_5"/>
      <w:bookmarkStart w:id="1141" w:name="Tc_ibCjCtyywkiYU5KyNvs8YQ_15_2"/>
      <w:bookmarkStart w:id="1142" w:name="Tc_3hxPzKODDE-MEgPy-kvg9Q_15_0"/>
      <w:bookmarkStart w:id="1143" w:name="Tc_nZOx2E4yZUeA0qD2WKOoRA_14_6"/>
      <w:bookmarkStart w:id="1144" w:name="Tc_AY3fvXRjMUSGDDsHN8Znzg_14_0"/>
      <w:bookmarkStart w:id="1145" w:name="Tc_UN50BdMQTkOb5dafwU0DNw_13_11"/>
      <w:bookmarkStart w:id="1146" w:name="Tc_zDsTujoDS0eR639D7LulMA_13_8"/>
      <w:bookmarkStart w:id="1147" w:name="Tc_ADdp_6ijwkaUES6yXPOt8g_13_5"/>
      <w:bookmarkStart w:id="1148" w:name="Tc_mXqKPrPXUUytoIjNlkCOkw_13_2"/>
      <w:bookmarkStart w:id="1149" w:name="Tc_dkmH9hWxPkq4CQd3aRFjew_13_0"/>
      <w:bookmarkStart w:id="1150" w:name="Tc_7MXJy7Tcu0WXmFswDLMgkA_12_0"/>
      <w:bookmarkStart w:id="1151" w:name="Tc_hqmuXBFcGk2084QMGndQpw_11_0"/>
      <w:bookmarkStart w:id="1152" w:name="Tc_m6ubJ3kSdkGUwMX_3k1dwg_10_6"/>
      <w:bookmarkStart w:id="1153" w:name="Tc_a-E5MU_Zw0OqSHksNhhqGg_10_0"/>
      <w:bookmarkStart w:id="1154" w:name="Tc_kOF1ravPB0Ow_rW7tocT9A_9_0"/>
      <w:bookmarkStart w:id="1155" w:name="Tc_1HufxYqJkkmabTJSBmwwrg_8_0"/>
      <w:bookmarkStart w:id="1156" w:name="Tc_nbDRm5RlrU-EzQOZsbR0dQ_7_11"/>
      <w:bookmarkStart w:id="1157" w:name="Tc_i9cZiMhtZ0yJ00V_EkhrDg_7_8"/>
      <w:bookmarkStart w:id="1158" w:name="Tc_B1ibk0EPokC0nhIZcYzWFA_7_5"/>
      <w:bookmarkStart w:id="1159" w:name="Tc_H-I3DDV_qkmRTgnx3MoPmw_7_2"/>
      <w:bookmarkStart w:id="1160" w:name="Tc_OeBVpDKV-k6ORmKbJCBAIA_7_0"/>
      <w:bookmarkStart w:id="1161" w:name="Tc_6junFHnIJk2Ft9BEcsg0KQ_6_9"/>
      <w:bookmarkStart w:id="1162" w:name="Tc_idGGrq7DNUu2Bhlc9RsK5g_6_3"/>
      <w:bookmarkStart w:id="1163" w:name="Tc_TSDLIohonEO06O8SG-OP0g_6_0"/>
      <w:bookmarkStart w:id="1164" w:name="Tc_LuEusZmzwE2AEiWiMsob1Q_5_11"/>
      <w:bookmarkStart w:id="1165" w:name="Tc_EmLQmAhFbku3m2FWT7mePg_5_8"/>
      <w:bookmarkStart w:id="1166" w:name="Tc__dEfFl_mF06aB98JZLltaQ_5_5"/>
      <w:bookmarkStart w:id="1167" w:name="Tc_0knl-sNu8kCGP7rngHH7og_5_2"/>
      <w:bookmarkStart w:id="1168" w:name="Tc_QmD6pHl7cUKjEr7iT4NLbw_5_0"/>
      <w:bookmarkStart w:id="1169" w:name="Tc_C-HRSaiGYUWole3EgVp6LQ_4_0"/>
      <w:bookmarkStart w:id="1170" w:name="Tc_5izcPDr9l0qyH4SjVHt8Ww_3_11"/>
      <w:bookmarkStart w:id="1171" w:name="Tc_p7LDJGgp602GhaopQ88DaA_3_8"/>
      <w:bookmarkStart w:id="1172" w:name="Tc_jGSTMLXnrkuzFmjCRh9dnw_3_5"/>
      <w:bookmarkStart w:id="1173" w:name="Tc_vcjYb22v4UqeZ67eZvi5cQ_3_2"/>
      <w:bookmarkStart w:id="1174" w:name="Tc_0XZ37sVfFke1pC4NH45hJg_2_11"/>
      <w:bookmarkStart w:id="1175" w:name="Tc_frHzFPd82k-z71FFSOq0pg_2_8"/>
      <w:bookmarkStart w:id="1176" w:name="Tc_TQDUtN5n7kmzEDJQbhLsEg_2_5"/>
      <w:bookmarkStart w:id="1177" w:name="Tc_iD_56r8bbU2u-Vfvw6Z6WA_2_2"/>
      <w:bookmarkStart w:id="1178" w:name="Tc_uGx7zhZigUycpAWYyB80_g_1_8"/>
      <w:bookmarkStart w:id="1179" w:name="Tc_1nAywKxOIke3J2MvhjlkWw_1_2"/>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r>
        <w:rPr>
          <w:rFonts w:ascii="Times New Roman;Times;serif" w:hAnsi="Times New Roman;Times;serif"/>
          <w:b/>
          <w:sz w:val="20"/>
        </w:rPr>
        <w:t>(8) NET EARNINGS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provides a reconciliation between the net earnings (loss) attributable to Valmont Industries, Inc. and the weighted average share amounts used to compute both basic and diluted earnings (loss)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4"/>
        <w:gridCol w:w="109"/>
        <w:gridCol w:w="196"/>
        <w:gridCol w:w="691"/>
        <w:gridCol w:w="346"/>
        <w:gridCol w:w="196"/>
        <w:gridCol w:w="691"/>
        <w:gridCol w:w="346"/>
        <w:gridCol w:w="196"/>
        <w:gridCol w:w="691"/>
        <w:gridCol w:w="346"/>
        <w:gridCol w:w="196"/>
        <w:gridCol w:w="737"/>
      </w:tblGrid>
      <w:tr>
        <w:trPr/>
        <w:tc>
          <w:tcPr>
            <w:tcW w:w="54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8785" cy="175260"/>
                      <wp:effectExtent l="0" t="0" r="0" b="0"/>
                      <wp:wrapNone/>
                      <wp:docPr id="6" name="Frame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8785" cy="175260"/>
                      <wp:effectExtent l="0" t="0" r="0" b="0"/>
                      <wp:wrapNone/>
                      <wp:docPr id="9" name="Frame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38785" cy="175260"/>
                      <wp:effectExtent l="0" t="0" r="0" b="0"/>
                      <wp:wrapNone/>
                      <wp:docPr id="12" name="Frame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7995" cy="175260"/>
                      <wp:effectExtent l="0" t="0" r="0" b="0"/>
                      <wp:wrapNone/>
                      <wp:docPr id="15" name="Frame15"/>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center"/>
              <w:rPr/>
            </w:pPr>
            <w:r>
              <w:rPr/>
              <w:t>​</w:t>
            </w:r>
          </w:p>
        </w:tc>
        <w:tc>
          <w:tcPr>
            <w:tcW w:w="21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546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93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54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(loss)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earnings (loss) attributable to Valmont Industries, Inc.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83,241</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redemption value of redeemable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(26,243)</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 Inc. including change in redemption value of redeemable noncontrolling interests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56,998</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 average shares outstanding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19,928</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20,063</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(loss) attributable to Valmont Industries, Inc.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2.84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second quarter of fiscal 2025, the Company reported a net loss. In periods in which the Company recognizes a net loss, the Company excludes the impact of outstanding stock awards from the diluted loss per share calculation, as its inclusion would have an anti-dilutive effect.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June 27, 2026 and June 28, 2025, there were no outstanding stock options and 39,543 outstanding stock options, respectively, with exercise prices in excess of the average market price of common stock during the respective periods. These options were anti-dilutive and, accordingly, were excluded from the computation of diluted earnings per share.</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(9) INCOME TAXES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recorded income tax expense of $41,989 and $79,104 for the thirteen and twenty-six weeks ended June 27, 2026, respectively, and recorded income tax expense of $22,280 and $53,079 for the thirteen and twenty-six weeks ended June 28, 2025.</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Company’s effective income tax rate was 25.8%, and 25.7% for the thirteen and twenty-six weeks ended June 27, 2026, respectively, compared to 117.2% and 38.7% for the thirteen and twenty-six weeks ended June 28, 2025. The thirteen and twenty-six weeks ended June 28, 2025 included $64,869 of goodwill impairments that had no associated tax benefit as they were non-deductible for income tax purposes. See Note 5 for further information on goodwill impairments.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a legal entity reorganization that resulted in a deemed liquidation of the former Prospera business. In connection with this restructuring, the Prospera shares were determined to be worthless under Internal Revenue Code Section 165(g)(1), resulting in the recognition of a federal income tax benefit of approximately $66,094.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180" w:name="Tc_NGRcPphGW0iFFC4h9DixYg_5_0"/>
      <w:bookmarkStart w:id="1181" w:name="Tc_FpJkHfZ_AUqmWxAiparuiw_4_11"/>
      <w:bookmarkStart w:id="1182" w:name="Tc_ZJRG4PbkzkuTtCE2k40ojQ_4_8"/>
      <w:bookmarkStart w:id="1183" w:name="Tc_GQOGpMw6GEOinO9ExDR6Zw_4_5"/>
      <w:bookmarkStart w:id="1184" w:name="Tc_Z9ekV2xBZE2eXXibQc7_Zw_4_2"/>
      <w:bookmarkStart w:id="1185" w:name="Tc_jkxzs53BBUKcGOPhq5sK4g_4_0"/>
      <w:bookmarkStart w:id="1186" w:name="Tc_UpQB0WKhvU-fwCDVwm3Y5Q_3_11"/>
      <w:bookmarkStart w:id="1187" w:name="Tc_nWp_ex8WbEGbBGevS0iT0g_3_8"/>
      <w:bookmarkStart w:id="1188" w:name="Tc_naH_VgXkjU6jYXIPoxY2Yw_3_5"/>
      <w:bookmarkStart w:id="1189" w:name="Tc_l027Nso4PUK7bjWIQCwHEQ_3_2"/>
      <w:bookmarkStart w:id="1190" w:name="Tc_M9z7KDF3xkmtjMx1F-77zA_2_11"/>
      <w:bookmarkStart w:id="1191" w:name="Tc_5aelWwlbnEO1g7U2E5CNMw_2_8"/>
      <w:bookmarkStart w:id="1192" w:name="Tc_N4WKYdiKd0eonQbx9HNt6A_2_5"/>
      <w:bookmarkStart w:id="1193" w:name="Tc_-Cb8SjxFy0OoCYcMA2sM0Q_2_2"/>
      <w:bookmarkStart w:id="1194" w:name="Tc_l8BFj1OElUi6IvYArMsKUw_1_8"/>
      <w:bookmarkStart w:id="1195" w:name="Tc_4Lpb5A2e1EK31Jb-IsOrGw_1_2"/>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b/>
          <w:sz w:val="20"/>
        </w:rPr>
        <w:t>(10)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thirteen and twenty-six weeks ended June 27, 2026 and June 28, 2025, stock-based compensation expense (included in “Selling, general, and administrative expenses” in the Condensed Consolidated Statements of Operations) and associated income tax benefits were as follows:</w:t>
      </w:r>
    </w:p>
    <w:p>
      <w:pPr>
        <w:pStyle w:val="TextBody"/>
        <w:bidi w:val="0"/>
        <w:spacing w:before="0" w:after="0"/>
        <w:ind w:left="0" w:right="0" w:hanging="0"/>
        <w:jc w:val="left"/>
        <w:rPr/>
      </w:pPr>
      <w:r>
        <w:rPr/>
        <w:t>​</w:t>
      </w:r>
    </w:p>
    <w:tbl>
      <w:tblPr>
        <w:tblW w:w="6342" w:type="dxa"/>
        <w:jc w:val="left"/>
        <w:tblInd w:w="0" w:type="dxa"/>
        <w:tblLayout w:type="fixed"/>
        <w:tblCellMar>
          <w:top w:w="0" w:type="dxa"/>
          <w:left w:w="0" w:type="dxa"/>
          <w:bottom w:w="0" w:type="dxa"/>
          <w:right w:w="0" w:type="dxa"/>
        </w:tblCellMar>
      </w:tblPr>
      <w:tblGrid>
        <w:gridCol w:w="2011"/>
        <w:gridCol w:w="109"/>
        <w:gridCol w:w="207"/>
        <w:gridCol w:w="543"/>
        <w:gridCol w:w="351"/>
        <w:gridCol w:w="207"/>
        <w:gridCol w:w="543"/>
        <w:gridCol w:w="346"/>
        <w:gridCol w:w="200"/>
        <w:gridCol w:w="613"/>
        <w:gridCol w:w="353"/>
        <w:gridCol w:w="200"/>
        <w:gridCol w:w="659"/>
      </w:tblGrid>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51" w:type="dxa"/>
            <w:tcBorders/>
            <w:vAlign w:val="center"/>
          </w:tcPr>
          <w:p>
            <w:pPr>
              <w:pStyle w:val="TableContents"/>
              <w:bidi w:val="0"/>
              <w:spacing w:before="0" w:after="0"/>
              <w:ind w:left="0" w:right="0" w:hanging="0"/>
              <w:jc w:val="left"/>
              <w:rPr/>
            </w:pPr>
            <w:r>
              <w:rPr/>
              <w:t>​</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0"/>
              <w:ind w:left="0" w:right="0" w:hanging="0"/>
              <w:jc w:val="left"/>
              <w:rPr/>
            </w:pPr>
            <w:r>
              <w:rPr/>
              <w:t>​</w:t>
            </w:r>
          </w:p>
        </w:tc>
        <w:tc>
          <w:tcPr>
            <w:tcW w:w="81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53" w:type="dxa"/>
            <w:tcBorders/>
            <w:vAlign w:val="center"/>
          </w:tcPr>
          <w:p>
            <w:pPr>
              <w:pStyle w:val="TableContents"/>
              <w:bidi w:val="0"/>
              <w:spacing w:before="0" w:after="0"/>
              <w:ind w:left="0" w:right="0" w:hanging="0"/>
              <w:jc w:val="left"/>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1" w:type="dxa"/>
            <w:tcBorders/>
            <w:vAlign w:val="center"/>
          </w:tcPr>
          <w:p>
            <w:pPr>
              <w:pStyle w:val="TableContents"/>
              <w:bidi w:val="0"/>
              <w:spacing w:before="0" w:after="0"/>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3" w:type="dxa"/>
            <w:tcBorders/>
            <w:vAlign w:val="center"/>
          </w:tcPr>
          <w:p>
            <w:pPr>
              <w:pStyle w:val="TableContents"/>
              <w:bidi w:val="0"/>
              <w:spacing w:before="0" w:after="0"/>
              <w:ind w:left="0" w:right="0" w:hanging="0"/>
              <w:jc w:val="left"/>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5,887</w:t>
            </w:r>
          </w:p>
        </w:tc>
        <w:tc>
          <w:tcPr>
            <w:tcW w:w="351"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6,166</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11,419</w:t>
            </w:r>
          </w:p>
        </w:tc>
        <w:tc>
          <w:tcPr>
            <w:tcW w:w="35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13,377</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benefits</w:t>
            </w:r>
          </w:p>
        </w:tc>
        <w:tc>
          <w:tcPr>
            <w:tcW w:w="109"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c>
          <w:tcPr>
            <w:tcW w:w="351"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2,855</w:t>
            </w:r>
          </w:p>
        </w:tc>
        <w:tc>
          <w:tcPr>
            <w:tcW w:w="35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3,344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thirteen weeks ended June 27, 2026, the Company granted 3,410 restricted stock units at a weighted average grant date price of $497.99 per share unit and 579 performance stock units at a weighted average grant date price of $489.23 per share unit. For the twenty-six weeks ended June 27, 2026, the Company granted 7,805 restricted stock units at a weighted average grant date price of $456.83 per share unit and 20,985 performance stock units at a weighted average grant date price of $449.69 per share unit.</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1196" w:name="Tc_JU9H5Q_2RUO46te1s6BpwQ_6_5"/>
      <w:bookmarkStart w:id="1197" w:name="Tc_7bt8yNgbc0ax8hoCQgmbdA_6_2"/>
      <w:bookmarkStart w:id="1198" w:name="Tc_lEnIOKU47EuWNuFpUaXLYQ_6_0"/>
      <w:bookmarkStart w:id="1199" w:name="Tc_QNTvbioUJke0tSVqzRw3ug_5_0"/>
      <w:bookmarkStart w:id="1200" w:name="Tc_dtcomB7kFke_btV302LECA_4_0"/>
      <w:bookmarkStart w:id="1201" w:name="Tc_mq2JqmtnekChuE6km6oVoA_3_5"/>
      <w:bookmarkStart w:id="1202" w:name="Tc_WIFdyBezyUeJ2nwZsLoPiQ_3_2"/>
      <w:bookmarkStart w:id="1203" w:name="Tc_wUKKy-nWjESGGtiMOOwVFQ_3_0"/>
      <w:bookmarkStart w:id="1204" w:name="Tc_AM23wTmYRUyFJsr1jqLFgg_2_5"/>
      <w:bookmarkStart w:id="1205" w:name="Tc_4yUFxD5KWEayfkto3nldqw_2_2"/>
      <w:bookmarkStart w:id="1206" w:name="Tc_9OGcDaGPVES_nocYz7ti_g_1_5"/>
      <w:bookmarkStart w:id="1207" w:name="Tc_7XrTxSC9k0uEinveBjWihQ_1_2"/>
      <w:bookmarkEnd w:id="1196"/>
      <w:bookmarkEnd w:id="1197"/>
      <w:bookmarkEnd w:id="1198"/>
      <w:bookmarkEnd w:id="1199"/>
      <w:bookmarkEnd w:id="1200"/>
      <w:bookmarkEnd w:id="1201"/>
      <w:bookmarkEnd w:id="1202"/>
      <w:bookmarkEnd w:id="1203"/>
      <w:bookmarkEnd w:id="1204"/>
      <w:bookmarkEnd w:id="1205"/>
      <w:bookmarkEnd w:id="1206"/>
      <w:bookmarkEnd w:id="1207"/>
      <w:r>
        <w:rPr>
          <w:rFonts w:ascii="Times New Roman;Times;serif" w:hAnsi="Times New Roman;Times;serif"/>
          <w:b/>
          <w:sz w:val="20"/>
        </w:rPr>
        <w:t>(11) ACCUMULATED OTHER COMPREHENSIVE INCOME (LOSS)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the components of accumulated other comprehensive loss were as follows:</w:t>
      </w:r>
    </w:p>
    <w:p>
      <w:pPr>
        <w:pStyle w:val="TextBody"/>
        <w:bidi w:val="0"/>
        <w:spacing w:before="0" w:after="0"/>
        <w:ind w:left="0" w:right="0" w:hanging="0"/>
        <w:jc w:val="left"/>
        <w:rPr/>
      </w:pPr>
      <w:r>
        <w:rPr/>
        <w:t>​</w:t>
      </w:r>
    </w:p>
    <w:tbl>
      <w:tblPr>
        <w:tblW w:w="5648" w:type="dxa"/>
        <w:jc w:val="left"/>
        <w:tblInd w:w="0" w:type="dxa"/>
        <w:tblLayout w:type="fixed"/>
        <w:tblCellMar>
          <w:top w:w="0" w:type="dxa"/>
          <w:left w:w="0" w:type="dxa"/>
          <w:bottom w:w="0" w:type="dxa"/>
          <w:right w:w="0" w:type="dxa"/>
        </w:tblCellMar>
      </w:tblPr>
      <w:tblGrid>
        <w:gridCol w:w="3001"/>
        <w:gridCol w:w="109"/>
        <w:gridCol w:w="196"/>
        <w:gridCol w:w="811"/>
        <w:gridCol w:w="346"/>
        <w:gridCol w:w="220"/>
        <w:gridCol w:w="965"/>
      </w:tblGrid>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9700" cy="175260"/>
                      <wp:effectExtent l="0" t="0" r="0" b="0"/>
                      <wp:wrapNone/>
                      <wp:docPr id="19" name="Frame1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(251,934)</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(248,741)</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21,172</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Defined benefit pension plan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(56,228)</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(57,179)</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(286,990)</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(290,515)</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(12) SHARE REPURCHASES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maintains a share repurchase program with a total authorization of $2,100,000. During the thirteen weeks ended June 27, 2026, the Company repurchased 118,719 shares for $59,990. During the twenty-six weeks ended June 27, 2026, the Company repurchased 249,916 shares for $116,544. As of June 27, 2026, the Company had repurchased 9,093,196 shares for approximately $1,649,440 since the program's inception and had approximately $450,560 of remaining capacity under the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outstanding payment obligations under the Company’s supplier finance program, included in “Accounts payable” in the Condensed Consolidated Balance Sheets, were $38,828 and $56,324, respectively.</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and claims arising in the normal course of business.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Brazil Litigation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 involved in several litigation matters in Brazil related to its operations in the Agriculture market. During the fourth quarter of fiscal 2025, the Company received an unfavorable ruling in the Brazilian appellate court system. In the first quarter of fiscal 2026, the Company entered into a settlement agreement with the plaintiff for approximately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105,000 Brazilian reais (approximately $20,271 U.S. dollars), which was paid in full in the second quarter of fiscal 2026. This settlement amount excludes certain attorney’s fees that remain subject to final determination and was materially consistent with the estimate made as of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the Company had accrued approximately $1,544 and $24,165, respectively, related to these matters, which are included in “Other accrued expenses” in the Condensed Consolidated Balance Sheets. The accrual reflects management's best estimate of losses based on currently available information. No additional losses beyond the amounts accrued are deemed probable at this time.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U.S. Customs and Border Protection Inquiry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first half of fiscal 2026, the Company received multiple inquiries from U.S. Customs and Border Protection (“CBP”) related to the valuation methodology applied to steel tariffs from Mexico into the U.S. While certain inquiries remain pending, the Company has received responses from CBP with respect to certain import entries. Those responses have reflected different conclusions regarding the application of Section 232 tariffs to particular entries. The Company continues to evaluate these matters and respond to CBP inquiries in the ordinary course of business. Based on management's assessment of the facts and circumstances currently available, including management's understanding of applicable CBP guidance, management does not believe these matters are reasonably likely to have a material impact on the Company's consolidated financial statements.</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Section 232 Tariff Modifications</w:t>
      </w:r>
    </w:p>
    <w:p>
      <w:pPr>
        <w:pStyle w:val="TextBody"/>
        <w:bidi w:val="0"/>
        <w:spacing w:before="240" w:after="240"/>
        <w:ind w:left="0" w:right="0" w:firstLine="720"/>
        <w:jc w:val="left"/>
        <w:rPr>
          <w:rFonts w:ascii="Times New Roman;Times;serif" w:hAnsi="Times New Roman;Times;serif"/>
          <w:b/>
          <w:sz w:val="20"/>
        </w:rPr>
      </w:pPr>
      <w:r>
        <w:rPr>
          <w:rFonts w:ascii="Times New Roman;Times;serif" w:hAnsi="Times New Roman;Times;serif"/>
          <w:b w:val="false"/>
          <w:sz w:val="20"/>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w:t>
      </w:r>
      <w:r>
        <w:rPr>
          <w:rFonts w:ascii="Times New Roman;Times;serif" w:hAnsi="Times New Roman;Times;serif"/>
          <w:b/>
          <w:sz w:val="20"/>
        </w:rPr>
        <w:t xml:space="preserve"> </w:t>
      </w:r>
      <w:r>
        <w:rPr>
          <w:rFonts w:ascii="Times New Roman;Times;serif" w:hAnsi="Times New Roman;Times;serif"/>
          <w:b w:val="false"/>
          <w:sz w:val="20"/>
        </w:rPr>
        <w:t>ad valorem rate applicable to products in which at least 95%</w:t>
      </w:r>
      <w:r>
        <w:rPr>
          <w:rFonts w:ascii="Times New Roman;Times;serif" w:hAnsi="Times New Roman;Times;serif"/>
          <w:b/>
          <w:sz w:val="20"/>
        </w:rPr>
        <w:t xml:space="preserve"> </w:t>
      </w:r>
      <w:r>
        <w:rPr>
          <w:rFonts w:ascii="Times New Roman;Times;serif" w:hAnsi="Times New Roman;Times;serif"/>
          <w:b w:val="false"/>
          <w:sz w:val="20"/>
        </w:rPr>
        <w:t>of steel content was melted and poured in the U.S. Products that do not meet these requirements are subject to higher tariff rates, including up to 50%</w:t>
      </w:r>
      <w:r>
        <w:rPr>
          <w:rFonts w:ascii="Times New Roman;Times;serif" w:hAnsi="Times New Roman;Times;serif"/>
          <w:b/>
          <w:sz w:val="20"/>
        </w:rPr>
        <w:t xml:space="preserve"> </w:t>
      </w:r>
      <w:r>
        <w:rPr>
          <w:rFonts w:ascii="Times New Roman;Times;serif" w:hAnsi="Times New Roman;Times;serif"/>
          <w:b w:val="false"/>
          <w:sz w:val="20"/>
        </w:rPr>
        <w:t>on full value. On June 1, 2026, a subsequent proclamation further adjusted the tariff framework by lowering the U.S.-content threshold for preferential rate eligibility from 95%</w:t>
      </w:r>
      <w:r>
        <w:rPr>
          <w:rFonts w:ascii="Times New Roman;Times;serif" w:hAnsi="Times New Roman;Times;serif"/>
          <w:b/>
          <w:sz w:val="20"/>
        </w:rPr>
        <w:t xml:space="preserve"> </w:t>
      </w:r>
      <w:r>
        <w:rPr>
          <w:rFonts w:ascii="Times New Roman;Times;serif" w:hAnsi="Times New Roman;Times;serif"/>
          <w:b w:val="false"/>
          <w:sz w:val="20"/>
        </w:rPr>
        <w:t>to 85%.</w:t>
      </w:r>
    </w:p>
    <w:p>
      <w:pPr>
        <w:pStyle w:val="TextBody"/>
        <w:bidi w:val="0"/>
        <w:spacing w:before="240" w:after="240"/>
        <w:ind w:left="0" w:right="0" w:firstLine="720"/>
        <w:jc w:val="left"/>
        <w:rPr>
          <w:rFonts w:ascii="Times New Roman;Times;serif" w:hAnsi="Times New Roman;Times;serif"/>
          <w:b/>
          <w:sz w:val="20"/>
        </w:rPr>
      </w:pPr>
      <w:r>
        <w:rPr>
          <w:rFonts w:ascii="Times New Roman;Times;serif" w:hAnsi="Times New Roman;Times;serif"/>
          <w:b w:val="false"/>
          <w:sz w:val="20"/>
        </w:rPr>
        <w:t>The Company continuously assesses the full scope of affected products and the prospective financial impact on its results of operations and financial condition. At this time, the Company believes that the majority of its steel poles produced in Mexico will be subject to a 10%</w:t>
      </w:r>
      <w:r>
        <w:rPr>
          <w:rFonts w:ascii="Times New Roman;Times;serif" w:hAnsi="Times New Roman;Times;serif"/>
          <w:b/>
          <w:sz w:val="20"/>
        </w:rPr>
        <w:t xml:space="preserve"> </w:t>
      </w:r>
      <w:r>
        <w:rPr>
          <w:rFonts w:ascii="Times New Roman;Times;serif" w:hAnsi="Times New Roman;Times;serif"/>
          <w:b w:val="false"/>
          <w:sz w:val="20"/>
        </w:rPr>
        <w:t>tariff rate.</w:t>
      </w:r>
    </w:p>
    <w:p>
      <w:pPr>
        <w:pStyle w:val="TextBody"/>
        <w:bidi w:val="0"/>
        <w:spacing w:before="24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Company also continuously monitors developments in these matters and will adjust its accruals if and when additional information becomes available or circumstances change. At this time, the Company does not expect that any known lawsuits, claims, environmental costs, commitments, or contingent liabilities will have a material adverse effect on its consolidated results of operations, financial condition, or liquidity.</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(15) BUSINESS SEGMENTS AND RELATED REVENUE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chief operating decision maker (“CODM”) is the President and Chief Executive Officer. The CODM uses operating income as the profit measure to evaluate segment performance and allocate resources across segments. The CODM also uses operating income as an input to the overall compensation measures under the Company’s incentive compensation plans. Segment selling, general, and administrative expenses include certain corporate expense allocations, typically based on employee headcounts and sales volumes. For segment reporting purposes, the Company excludes unallocated corporate general and administrative expenses, interest expenses, non-operating income and deductions, and income taxes from operating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reportable segments are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Infrastructure</w:t>
      </w:r>
      <w:r>
        <w:rPr>
          <w:rFonts w:ascii="Times New Roman;Times;serif" w:hAnsi="Times New Roman;Times;serif"/>
          <w:sz w:val="20"/>
        </w:rPr>
        <w:t>: This segment consists of the manufacture and distribution of products and solutions to serve the infrastructure markets of utility, lighting, transportation, and telecommunications, along with coatings services to protect metal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bookmarkStart w:id="1208" w:name="Tc_3uweZqgnw0esxWIhcP8Pew_11_8"/>
      <w:bookmarkStart w:id="1209" w:name="Tc_YQLN0-2-SEyrnuTW1fB0LQ_11_0"/>
      <w:bookmarkStart w:id="1210" w:name="Tc_BjhepthqOkKRE9zecHU--A_10_0"/>
      <w:bookmarkStart w:id="1211" w:name="Tc_XOW3lXYUWEGM5WFxBfcw0Q_9_5"/>
      <w:bookmarkStart w:id="1212" w:name="Tc_61BsszXHPk6Cp3Wxa_NSSg_9_2"/>
      <w:bookmarkStart w:id="1213" w:name="Tc_RXK_CI3df02xj9it08PNig_9_0"/>
      <w:bookmarkStart w:id="1214" w:name="Tc_4V1etbqxBUKeEn4Hr7i7hg_8_0"/>
      <w:bookmarkStart w:id="1215" w:name="Tc_Z-SdyZd-EEmsimPrHeqadQ_7_0"/>
      <w:bookmarkStart w:id="1216" w:name="Tc_K0wShUbyI0KjhSDtly0iZg_6_0"/>
      <w:bookmarkStart w:id="1217" w:name="Tc_6ugbTEJLiU2tavciWEqRhg_5_0"/>
      <w:bookmarkStart w:id="1218" w:name="Tc_6Oo-l0-jzEq6yFOsHATz8Q_4_0"/>
      <w:bookmarkStart w:id="1219" w:name="Tc_j3xoG_1qLkKPUN6adDXE1g_3_8"/>
      <w:bookmarkStart w:id="1220" w:name="Tc_nqm6-LM5VE2PwR-qG95n_w_3_5"/>
      <w:bookmarkStart w:id="1221" w:name="Tc_6S_f9jpiMUO6UNKs0hyLKg_3_2"/>
      <w:bookmarkStart w:id="1222" w:name="Tc_9wnvyJ0UzEGf_4JOIJeYrg_3_0"/>
      <w:bookmarkStart w:id="1223" w:name="Tc__ZNEgfT9eUWl9KA-1HYDsw_2_8"/>
      <w:bookmarkStart w:id="1224" w:name="Tc_QvCVxLFRyUyGW91XRLfpwQ_2_5"/>
      <w:bookmarkStart w:id="1225" w:name="Tc_xq5cOfTgn0ihWijgYuYVaQ_2_2"/>
      <w:bookmarkStart w:id="1226" w:name="Tc_rlmr-Jq9a0qE6efTiHYtBg_1_2"/>
      <w:bookmarkStart w:id="1227" w:name="_5f64cbd4_5ee0_4cd0_8347_33c050d6bf31"/>
      <w:bookmarkStart w:id="1228" w:name="Tc_el3M2P3s_0ezpMzGIcsilA_14_8"/>
      <w:bookmarkStart w:id="1229" w:name="Tc_dDDAjp49C0iWJITWrKTiIQ_14_0"/>
      <w:bookmarkStart w:id="1230" w:name="Tc_iHmbIY2rQESTK14O-ekCFQ_13_0"/>
      <w:bookmarkStart w:id="1231" w:name="Tc_uTpwyanXF06Ace1YxDqDIw_12_0"/>
      <w:bookmarkStart w:id="1232" w:name="Tc_ey4Fo13d-UeJ5DL_nrlMlQ_11_5"/>
      <w:bookmarkStart w:id="1233" w:name="Tc_dPa7JWRSkUeDGQ6RYIqpgg_11_2"/>
      <w:bookmarkStart w:id="1234" w:name="Tc_uh46NO5OZkGWpPiJIPjH1w_11_0"/>
      <w:bookmarkStart w:id="1235" w:name="Tc__Ud0iXIF5Uici8096jp6uA_10_0"/>
      <w:bookmarkStart w:id="1236" w:name="Tc_VuVFIlXJD0299KOmkS92Tw_9_0"/>
      <w:bookmarkStart w:id="1237" w:name="Tc_wgcTzYP3jUGp1N_GSlUB9w_8_0"/>
      <w:bookmarkStart w:id="1238" w:name="Tc_7O3QKsaNdUCctQRwK5xuSw_7_0"/>
      <w:bookmarkStart w:id="1239" w:name="Tc_PRp-vA7gh0GbJ8oPY32DZw_6_0"/>
      <w:bookmarkStart w:id="1240" w:name="Tc_rl9SF2CuQkSvO2v6Lk6R2A_5_0"/>
      <w:bookmarkStart w:id="1241" w:name="Tc_rJHXF64SxE2_WvsI6Vg2Jg_4_0"/>
      <w:bookmarkStart w:id="1242" w:name="Tc_ZpzhK2YXuk-fbabn3-j8wA_3_8"/>
      <w:bookmarkStart w:id="1243" w:name="Tc_G9qQ5SYcgEKddim1EYjt1Q_3_5"/>
      <w:bookmarkStart w:id="1244" w:name="Tc_fmvvGG-Nn0Sq_xeTdUwidQ_3_2"/>
      <w:bookmarkStart w:id="1245" w:name="Tc_Ip94CxWtFUqwZ_Dcx6BCpg_3_0"/>
      <w:bookmarkStart w:id="1246" w:name="Tc_OHGfMXP7bkiNjdsqtbet8g_2_8"/>
      <w:bookmarkStart w:id="1247" w:name="Tc_t5odtPJWTkehzkSo4yAyGg_2_5"/>
      <w:bookmarkStart w:id="1248" w:name="Tc_2DU8eVVCJ0qGEke1Qi3UFA_2_2"/>
      <w:bookmarkStart w:id="1249" w:name="Tc_tslXmWI8ak6Q535llagnPw_1_2"/>
      <w:bookmarkStart w:id="1250" w:name="_c5350384_1312_4a80_ae14_9f7ea717ec5b"/>
      <w:bookmarkStart w:id="1251" w:name="Tc_qM-m2MRgh0Wr3LsXb4K8_Q_11_8"/>
      <w:bookmarkStart w:id="1252" w:name="Tc_WfDandZUpEuMRDDAgRy5Cw_11_0"/>
      <w:bookmarkStart w:id="1253" w:name="Tc_kr6yXw1k-EOTC_gndo6uoA_10_0"/>
      <w:bookmarkStart w:id="1254" w:name="Tc_yqTtQ8vj30ydIiWLbf4vOg_9_5"/>
      <w:bookmarkStart w:id="1255" w:name="Tc_m3At1PlSpUaHLTUxr1HOTg_9_2"/>
      <w:bookmarkStart w:id="1256" w:name="Tc_sgTE2g6zXEqQl13D8dQeow_9_0"/>
      <w:bookmarkStart w:id="1257" w:name="Tc_-RqNxNoDzEesfUnO3r7cZQ_8_0"/>
      <w:bookmarkStart w:id="1258" w:name="Tc_-2mQJQgSjkaFtTyRXC9pkw_7_0"/>
      <w:bookmarkStart w:id="1259" w:name="Tc_RnxUs6e2ME-3kiZpXWLVQw_6_0"/>
      <w:bookmarkStart w:id="1260" w:name="Tc_8zACmsW-qUmB2QWQQboYZg_5_0"/>
      <w:bookmarkStart w:id="1261" w:name="Tc_F1DaA1vxkUamlRgzxhtl9w_4_0"/>
      <w:bookmarkStart w:id="1262" w:name="Tc_CwJpiwDmo0KFwDlEwRHPAQ_3_8"/>
      <w:bookmarkStart w:id="1263" w:name="Tc__NVeenMOHkihO4D45Q6O4Q_3_5"/>
      <w:bookmarkStart w:id="1264" w:name="Tc_f6wxsiU8Tkaoli29isURjA_3_2"/>
      <w:bookmarkStart w:id="1265" w:name="Tc_qoAmbp-TiUKmxIogFRiOlw_3_0"/>
      <w:bookmarkStart w:id="1266" w:name="Tc_9oTIxmm0902vToCGiZU-Uw_2_8"/>
      <w:bookmarkStart w:id="1267" w:name="Tc_vPuelmPZyECdjoOz-tj-CA_2_5"/>
      <w:bookmarkStart w:id="1268" w:name="Tc_2nKU_V04y0qDF60osxCugA_2_2"/>
      <w:bookmarkStart w:id="1269" w:name="Tc_TEEkIS9ObEOvuRFPEKayqw_1_2"/>
      <w:bookmarkStart w:id="1270" w:name="_e22d49dd_6a34_492e_b2a8_55af4b4d44e0"/>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i/>
          <w:sz w:val="20"/>
        </w:rPr>
        <w:t>Agriculture</w:t>
      </w:r>
      <w:r>
        <w:rPr>
          <w:rFonts w:ascii="Times New Roman;Times;serif" w:hAnsi="Times New Roman;Times;serif"/>
          <w:sz w:val="20"/>
        </w:rPr>
        <w:t>: This segment consists of the manufacture of center pivot and linear irrigation equipment components for agricultural markets, including aftermarket parts and tubular products, and advanced technology solutions for precision agriculture.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Summary by Business Segment</w:t>
      </w:r>
    </w:p>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526"/>
        <w:gridCol w:w="346"/>
        <w:gridCol w:w="262"/>
        <w:gridCol w:w="924"/>
        <w:gridCol w:w="346"/>
        <w:gridCol w:w="212"/>
        <w:gridCol w:w="749"/>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June 27, 2026</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243,699</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1,122,640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(2,223)</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(1,728)</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(3,951)</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876,718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241,971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1,118,689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612,077</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165,795</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777,872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264,641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76,176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340,817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110,265</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36,293</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146,558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154,376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39,883</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194,259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28,148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166,111</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shd w:fill="FFFF00" w:val="clear"/>
        </w:rPr>
      </w:pPr>
      <w:r>
        <w:rPr>
          <w:shd w:fill="FFFF00" w:val="clear"/>
        </w:rPr>
        <w:t>​</w:t>
      </w:r>
    </w:p>
    <w:tbl>
      <w:tblPr>
        <w:tblW w:w="8002" w:type="dxa"/>
        <w:jc w:val="left"/>
        <w:tblInd w:w="0" w:type="dxa"/>
        <w:tblLayout w:type="fixed"/>
        <w:tblCellMar>
          <w:top w:w="0" w:type="dxa"/>
          <w:left w:w="0" w:type="dxa"/>
          <w:bottom w:w="0" w:type="dxa"/>
          <w:right w:w="0" w:type="dxa"/>
        </w:tblCellMar>
      </w:tblPr>
      <w:tblGrid>
        <w:gridCol w:w="3706"/>
        <w:gridCol w:w="346"/>
        <w:gridCol w:w="262"/>
        <w:gridCol w:w="924"/>
        <w:gridCol w:w="346"/>
        <w:gridCol w:w="212"/>
        <w:gridCol w:w="749"/>
        <w:gridCol w:w="346"/>
        <w:gridCol w:w="204"/>
        <w:gridCol w:w="907"/>
      </w:tblGrid>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289,420</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1,054,945</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(1,964)</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(4,397)</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763,092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287,456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1,050,548</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535,209</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194,172</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729,381</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227,883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93,284</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321,167</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111,187</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52,366</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163,553</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goodwill and other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1,426</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2,886</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4,312</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36,051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61,965</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28,117</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realignment charges</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4,572</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29,276</w:t>
            </w:r>
          </w:p>
        </w:tc>
      </w:tr>
    </w:tbl>
    <w:p>
      <w:pPr>
        <w:pStyle w:val="TextBody"/>
        <w:bidi w:val="0"/>
        <w:spacing w:before="0" w:after="24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526"/>
        <w:gridCol w:w="346"/>
        <w:gridCol w:w="227"/>
        <w:gridCol w:w="959"/>
        <w:gridCol w:w="346"/>
        <w:gridCol w:w="212"/>
        <w:gridCol w:w="749"/>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 June 27, 2026</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470,695</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2,155,557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(4,964)</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(2,707)</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(7,671)</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1,679,898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467,988</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2,147,886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1,171,067</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319,124</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1,490,191</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508,831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148,864</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657,695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211,432</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75,478</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286,910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297,399</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73,386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370,785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49,048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321,737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271" w:name="Tc_p8kv_jH9ZU25dfqaCc8CkQ_15_11"/>
      <w:bookmarkStart w:id="1272" w:name="Tc_5Kq2_UdUiUiGy7cAzcrWXw_15_8"/>
      <w:bookmarkStart w:id="1273" w:name="Tc_7ZwSZglXikuxqnu4L2jEvA_15_5"/>
      <w:bookmarkStart w:id="1274" w:name="Tc_3jDjMjNkNEuEIKXpZfx6Lg_15_2"/>
      <w:bookmarkStart w:id="1275" w:name="Tc_pjfYiZIvnU2N_GmvcddYmA_15_0"/>
      <w:bookmarkStart w:id="1276" w:name="Tc_TQgHZyneS0iRXO3ujVrL7A_14_3"/>
      <w:bookmarkStart w:id="1277" w:name="Tc_ffLcQabpZEe0WfpCRf252w_14_0"/>
      <w:bookmarkStart w:id="1278" w:name="Tc_MoWfj1-wuEKJlqgGs4qOhA_13_9"/>
      <w:bookmarkStart w:id="1279" w:name="Tc_7J776WUwK06U9nq5o0Ywog_13_6"/>
      <w:bookmarkStart w:id="1280" w:name="Tc_6csNATFoYk2tLlq3PE-jFw_13_0"/>
      <w:bookmarkStart w:id="1281" w:name="Tc_B1CY_oGzbkan9_OsAf4xvg_12_9"/>
      <w:bookmarkStart w:id="1282" w:name="Tc_kErm5T1rzEa606oQ65XROQ_12_6"/>
      <w:bookmarkStart w:id="1283" w:name="Tc_qA4mKH3GZE2BwJzm1_hKlQ_12_0"/>
      <w:bookmarkStart w:id="1284" w:name="Tc_4U6iShCKGUmAjIcmTvQtdg_11_6"/>
      <w:bookmarkStart w:id="1285" w:name="Tc_kbcSQKSkYEe0zhQ2FEeIQA_11_0"/>
      <w:bookmarkStart w:id="1286" w:name="Tc_Z83JG-SYY0O7NxbliFC-jA_10_9"/>
      <w:bookmarkStart w:id="1287" w:name="Tc_362M5Y8Rm0C73kQu3HGlMA_10_6"/>
      <w:bookmarkStart w:id="1288" w:name="Tc_116R7h6B2EWZ812QughSLQ_10_0"/>
      <w:bookmarkStart w:id="1289" w:name="Tc_NeEIRRp5LUGCNKptkzUfIg_9_11"/>
      <w:bookmarkStart w:id="1290" w:name="Tc_TdV6heaLRUG3ACnsK3d_TQ_9_9"/>
      <w:bookmarkStart w:id="1291" w:name="Tc_86c4lNGlr0mMvxYqoLIQqQ_9_8"/>
      <w:bookmarkStart w:id="1292" w:name="Tc_vYlhEp1_BkKv3-rLT_0l_Q_9_6"/>
      <w:bookmarkStart w:id="1293" w:name="Tc_fFg-Uz20b0iKjz6Q3QHvtA_9_5"/>
      <w:bookmarkStart w:id="1294" w:name="Tc_QczypY1QkEiEH0GXIauw7A_9_2"/>
      <w:bookmarkStart w:id="1295" w:name="Tc_sH8svZ6xCEGq1nIMqLkE9w_9_0"/>
      <w:bookmarkStart w:id="1296" w:name="Tc_7MRBjyJKB0mZHwURMovWTQ_8_0"/>
      <w:bookmarkStart w:id="1297" w:name="Tc_nhwve17QiUyn9sjT4aY5yw_6_11"/>
      <w:bookmarkStart w:id="1298" w:name="Tc_-HKH-LX5N0e8BtyX8eQtQQ_6_8"/>
      <w:bookmarkStart w:id="1299" w:name="Tc_-1raruUEUECnsSgrjf6Whg_6_5"/>
      <w:bookmarkStart w:id="1300" w:name="Tc_n6rBDr6dEUCrPJxixlnidA_6_2"/>
      <w:bookmarkStart w:id="1301" w:name="Tc_Y9Y-jXHBj0G7xcimI7L6fQ_6_0"/>
      <w:bookmarkStart w:id="1302" w:name="Tc_jvqVy5OHNUaW48UZGPvawg_5_9"/>
      <w:bookmarkStart w:id="1303" w:name="Tc_3RgX9b8SNEmaHFYu9FzBHQ_5_0"/>
      <w:bookmarkStart w:id="1304" w:name="Tc_kQYViV0ekEqMAFpaphqjDw_4_11"/>
      <w:bookmarkStart w:id="1305" w:name="Tc_4WWpc-5FL0utJ-yEnTMKIg_4_8"/>
      <w:bookmarkStart w:id="1306" w:name="Tc_DCv0hdBOpEuvs9yHts_rrw_4_5"/>
      <w:bookmarkStart w:id="1307" w:name="Tc_JPDciKExjU-oovY-uDC49g_4_2"/>
      <w:bookmarkStart w:id="1308" w:name="Tc_hIOrqlFwdUuDrc0MXL3W7Q_4_0"/>
      <w:bookmarkStart w:id="1309" w:name="Tc_OVli1cLz1EWTcrGFcQ7w3A_3_0"/>
      <w:bookmarkStart w:id="1310" w:name="Tc_cPevH0IlQUKbRdK6DMaapg_2_11"/>
      <w:bookmarkStart w:id="1311" w:name="Tc_8jW02yHKOk6Thw34g3xTiQ_2_8"/>
      <w:bookmarkStart w:id="1312" w:name="Tc_OKYtMCd3ekWCaGwu2Zs0IQ_2_5"/>
      <w:bookmarkStart w:id="1313" w:name="Tc_4gd0RL8yM0ag13T_cidTTA_2_2"/>
      <w:bookmarkStart w:id="1314" w:name="Tc_7RGvq-R8Q0aOGeZF3CL5TQ_1_2"/>
      <w:bookmarkStart w:id="1315" w:name="_9829c43a_d766_4c98_9cfe_9dc093d03896"/>
      <w:bookmarkStart w:id="1316" w:name="Tc_IKBebRlwAEuXt3Dm-hNUAw_14_8"/>
      <w:bookmarkStart w:id="1317" w:name="Tc_a5W601GrBUynZySn7PQFFA_14_0"/>
      <w:bookmarkStart w:id="1318" w:name="Tc_gt-_v6ojgkiNhXjXu29ZTw_13_0"/>
      <w:bookmarkStart w:id="1319" w:name="Tc_GwjH3abxcE2bnQG6ndJOlQ_12_0"/>
      <w:bookmarkStart w:id="1320" w:name="Tc_xSoFuEYM3kGnLlP1csBlkQ_11_5"/>
      <w:bookmarkStart w:id="1321" w:name="Tc_k-UGSePMPkW3va3LE5t5Kg_11_2"/>
      <w:bookmarkStart w:id="1322" w:name="Tc_8O9SSFJ-qkqV1DVPE3BzbQ_11_0"/>
      <w:bookmarkStart w:id="1323" w:name="Tc__-3TX6o070ey3VyMOtVvyA_10_0"/>
      <w:bookmarkStart w:id="1324" w:name="Tc_qDdELrzAfUSJ2BDJUQJiSQ_9_0"/>
      <w:bookmarkStart w:id="1325" w:name="Tc_xHn1DPX4RkqdnGaaY8w2jw_8_0"/>
      <w:bookmarkStart w:id="1326" w:name="Tc_v2nP9RiiY0Go7CTxkkCWcg_7_0"/>
      <w:bookmarkStart w:id="1327" w:name="Tc_WDvreaPAUUaE_C2F7Jibyw_6_0"/>
      <w:bookmarkStart w:id="1328" w:name="Tc_EHq4MUYn10KX50jlQeaoZA_5_0"/>
      <w:bookmarkStart w:id="1329" w:name="Tc_GOP3bOACLEWrfjdAro1UyA_4_0"/>
      <w:bookmarkStart w:id="1330" w:name="Tc__3vJa0oa_kyxwnI4nSZgeg_3_8"/>
      <w:bookmarkStart w:id="1331" w:name="Tc_Z3QKP7mca0ODG92ng00Jew_3_5"/>
      <w:bookmarkStart w:id="1332" w:name="Tc_rkM21OyO50KypcMmWRAFQg_3_2"/>
      <w:bookmarkStart w:id="1333" w:name="Tc__QwWQHWuYkS1_y-mPhv28A_3_0"/>
      <w:bookmarkStart w:id="1334" w:name="Tc_a-m20znDAEKeIjB3WkspCQ_2_8"/>
      <w:bookmarkStart w:id="1335" w:name="Tc_heQWDsEjQkaC0vE6ofFVKA_2_5"/>
      <w:bookmarkStart w:id="1336" w:name="Tc_66TUiO6Py0i379KTcDHBww_2_2"/>
      <w:bookmarkStart w:id="1337" w:name="Tc_cprsBVq-GUmwVEcnD_YfSQ_1_2"/>
      <w:bookmarkStart w:id="1338" w:name="_a2a38d0d_13f3_46a7_92ea_6d9082119e5d"/>
      <w:bookmarkStart w:id="1339" w:name="Tc_p8kv_jH9ZU25dfqaCc8CkQ_15_11"/>
      <w:bookmarkStart w:id="1340" w:name="Tc_5Kq2_UdUiUiGy7cAzcrWXw_15_8"/>
      <w:bookmarkStart w:id="1341" w:name="Tc_7ZwSZglXikuxqnu4L2jEvA_15_5"/>
      <w:bookmarkStart w:id="1342" w:name="Tc_3jDjMjNkNEuEIKXpZfx6Lg_15_2"/>
      <w:bookmarkStart w:id="1343" w:name="Tc_pjfYiZIvnU2N_GmvcddYmA_15_0"/>
      <w:bookmarkStart w:id="1344" w:name="Tc_TQgHZyneS0iRXO3ujVrL7A_14_3"/>
      <w:bookmarkStart w:id="1345" w:name="Tc_ffLcQabpZEe0WfpCRf252w_14_0"/>
      <w:bookmarkStart w:id="1346" w:name="Tc_MoWfj1-wuEKJlqgGs4qOhA_13_9"/>
      <w:bookmarkStart w:id="1347" w:name="Tc_7J776WUwK06U9nq5o0Ywog_13_6"/>
      <w:bookmarkStart w:id="1348" w:name="Tc_6csNATFoYk2tLlq3PE-jFw_13_0"/>
      <w:bookmarkStart w:id="1349" w:name="Tc_B1CY_oGzbkan9_OsAf4xvg_12_9"/>
      <w:bookmarkStart w:id="1350" w:name="Tc_kErm5T1rzEa606oQ65XROQ_12_6"/>
      <w:bookmarkStart w:id="1351" w:name="Tc_qA4mKH3GZE2BwJzm1_hKlQ_12_0"/>
      <w:bookmarkStart w:id="1352" w:name="Tc_4U6iShCKGUmAjIcmTvQtdg_11_6"/>
      <w:bookmarkStart w:id="1353" w:name="Tc_kbcSQKSkYEe0zhQ2FEeIQA_11_0"/>
      <w:bookmarkStart w:id="1354" w:name="Tc_Z83JG-SYY0O7NxbliFC-jA_10_9"/>
      <w:bookmarkStart w:id="1355" w:name="Tc_362M5Y8Rm0C73kQu3HGlMA_10_6"/>
      <w:bookmarkStart w:id="1356" w:name="Tc_116R7h6B2EWZ812QughSLQ_10_0"/>
      <w:bookmarkStart w:id="1357" w:name="Tc_NeEIRRp5LUGCNKptkzUfIg_9_11"/>
      <w:bookmarkStart w:id="1358" w:name="Tc_TdV6heaLRUG3ACnsK3d_TQ_9_9"/>
      <w:bookmarkStart w:id="1359" w:name="Tc_86c4lNGlr0mMvxYqoLIQqQ_9_8"/>
      <w:bookmarkStart w:id="1360" w:name="Tc_vYlhEp1_BkKv3-rLT_0l_Q_9_6"/>
      <w:bookmarkStart w:id="1361" w:name="Tc_fFg-Uz20b0iKjz6Q3QHvtA_9_5"/>
      <w:bookmarkStart w:id="1362" w:name="Tc_QczypY1QkEiEH0GXIauw7A_9_2"/>
      <w:bookmarkStart w:id="1363" w:name="Tc_sH8svZ6xCEGq1nIMqLkE9w_9_0"/>
      <w:bookmarkStart w:id="1364" w:name="Tc_7MRBjyJKB0mZHwURMovWTQ_8_0"/>
      <w:bookmarkStart w:id="1365" w:name="Tc_nhwve17QiUyn9sjT4aY5yw_6_11"/>
      <w:bookmarkStart w:id="1366" w:name="Tc_-HKH-LX5N0e8BtyX8eQtQQ_6_8"/>
      <w:bookmarkStart w:id="1367" w:name="Tc_-1raruUEUECnsSgrjf6Whg_6_5"/>
      <w:bookmarkStart w:id="1368" w:name="Tc_n6rBDr6dEUCrPJxixlnidA_6_2"/>
      <w:bookmarkStart w:id="1369" w:name="Tc_Y9Y-jXHBj0G7xcimI7L6fQ_6_0"/>
      <w:bookmarkStart w:id="1370" w:name="Tc_jvqVy5OHNUaW48UZGPvawg_5_9"/>
      <w:bookmarkStart w:id="1371" w:name="Tc_3RgX9b8SNEmaHFYu9FzBHQ_5_0"/>
      <w:bookmarkStart w:id="1372" w:name="Tc_kQYViV0ekEqMAFpaphqjDw_4_11"/>
      <w:bookmarkStart w:id="1373" w:name="Tc_4WWpc-5FL0utJ-yEnTMKIg_4_8"/>
      <w:bookmarkStart w:id="1374" w:name="Tc_DCv0hdBOpEuvs9yHts_rrw_4_5"/>
      <w:bookmarkStart w:id="1375" w:name="Tc_JPDciKExjU-oovY-uDC49g_4_2"/>
      <w:bookmarkStart w:id="1376" w:name="Tc_hIOrqlFwdUuDrc0MXL3W7Q_4_0"/>
      <w:bookmarkStart w:id="1377" w:name="Tc_OVli1cLz1EWTcrGFcQ7w3A_3_0"/>
      <w:bookmarkStart w:id="1378" w:name="Tc_cPevH0IlQUKbRdK6DMaapg_2_11"/>
      <w:bookmarkStart w:id="1379" w:name="Tc_8jW02yHKOk6Thw34g3xTiQ_2_8"/>
      <w:bookmarkStart w:id="1380" w:name="Tc_OKYtMCd3ekWCaGwu2Zs0IQ_2_5"/>
      <w:bookmarkStart w:id="1381" w:name="Tc_4gd0RL8yM0ag13T_cidTTA_2_2"/>
      <w:bookmarkStart w:id="1382" w:name="Tc_7RGvq-R8Q0aOGeZF3CL5TQ_1_2"/>
      <w:bookmarkStart w:id="1383" w:name="_9829c43a_d766_4c98_9cfe_9dc093d03896"/>
      <w:bookmarkStart w:id="1384" w:name="Tc_IKBebRlwAEuXt3Dm-hNUAw_14_8"/>
      <w:bookmarkStart w:id="1385" w:name="Tc_a5W601GrBUynZySn7PQFFA_14_0"/>
      <w:bookmarkStart w:id="1386" w:name="Tc_gt-_v6ojgkiNhXjXu29ZTw_13_0"/>
      <w:bookmarkStart w:id="1387" w:name="Tc_GwjH3abxcE2bnQG6ndJOlQ_12_0"/>
      <w:bookmarkStart w:id="1388" w:name="Tc_xSoFuEYM3kGnLlP1csBlkQ_11_5"/>
      <w:bookmarkStart w:id="1389" w:name="Tc_k-UGSePMPkW3va3LE5t5Kg_11_2"/>
      <w:bookmarkStart w:id="1390" w:name="Tc_8O9SSFJ-qkqV1DVPE3BzbQ_11_0"/>
      <w:bookmarkStart w:id="1391" w:name="Tc__-3TX6o070ey3VyMOtVvyA_10_0"/>
      <w:bookmarkStart w:id="1392" w:name="Tc_qDdELrzAfUSJ2BDJUQJiSQ_9_0"/>
      <w:bookmarkStart w:id="1393" w:name="Tc_xHn1DPX4RkqdnGaaY8w2jw_8_0"/>
      <w:bookmarkStart w:id="1394" w:name="Tc_v2nP9RiiY0Go7CTxkkCWcg_7_0"/>
      <w:bookmarkStart w:id="1395" w:name="Tc_WDvreaPAUUaE_C2F7Jibyw_6_0"/>
      <w:bookmarkStart w:id="1396" w:name="Tc_EHq4MUYn10KX50jlQeaoZA_5_0"/>
      <w:bookmarkStart w:id="1397" w:name="Tc_GOP3bOACLEWrfjdAro1UyA_4_0"/>
      <w:bookmarkStart w:id="1398" w:name="Tc__3vJa0oa_kyxwnI4nSZgeg_3_8"/>
      <w:bookmarkStart w:id="1399" w:name="Tc_Z3QKP7mca0ODG92ng00Jew_3_5"/>
      <w:bookmarkStart w:id="1400" w:name="Tc_rkM21OyO50KypcMmWRAFQg_3_2"/>
      <w:bookmarkStart w:id="1401" w:name="Tc__QwWQHWuYkS1_y-mPhv28A_3_0"/>
      <w:bookmarkStart w:id="1402" w:name="Tc_a-m20znDAEKeIjB3WkspCQ_2_8"/>
      <w:bookmarkStart w:id="1403" w:name="Tc_heQWDsEjQkaC0vE6ofFVKA_2_5"/>
      <w:bookmarkStart w:id="1404" w:name="Tc_66TUiO6Py0i379KTcDHBww_2_2"/>
      <w:bookmarkStart w:id="1405" w:name="Tc_cprsBVq-GUmwVEcnD_YfSQ_1_2"/>
      <w:bookmarkStart w:id="1406" w:name="_a2a38d0d_13f3_46a7_92ea_6d9082119e5d"/>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p>
    <w:tbl>
      <w:tblPr>
        <w:tblW w:w="8002" w:type="dxa"/>
        <w:jc w:val="left"/>
        <w:tblInd w:w="0" w:type="dxa"/>
        <w:tblLayout w:type="fixed"/>
        <w:tblCellMar>
          <w:top w:w="0" w:type="dxa"/>
          <w:left w:w="0" w:type="dxa"/>
          <w:bottom w:w="0" w:type="dxa"/>
          <w:right w:w="0" w:type="dxa"/>
        </w:tblCellMar>
      </w:tblPr>
      <w:tblGrid>
        <w:gridCol w:w="3706"/>
        <w:gridCol w:w="346"/>
        <w:gridCol w:w="227"/>
        <w:gridCol w:w="959"/>
        <w:gridCol w:w="346"/>
        <w:gridCol w:w="212"/>
        <w:gridCol w:w="749"/>
        <w:gridCol w:w="346"/>
        <w:gridCol w:w="204"/>
        <w:gridCol w:w="907"/>
      </w:tblGrid>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556,691</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2,028,437</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(5,163)</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(3,412)</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(8,575)</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1,466,583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553,279</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1,025,825</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381,768</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1,407,593</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440,758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171,511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612,269</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206,850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94,356</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301,206</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goodwill and other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1,426</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2,886</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4,312</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143,126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72,288</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215,414</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53,252</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realignment charges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4,572</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157,590</w:t>
            </w:r>
          </w:p>
        </w:tc>
      </w:tr>
    </w:tbl>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for each reportable segment includes compensation, certain allocated overhead expenses including information technology and enterprise resource planning, commissions, incentives, depreciation and amortization expense, research and development, and professional services fees.</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first quarter of fiscal 2026, the Company revised its product line presentation to better reflect how the business is currently managed. Within the Infrastructure segment, product lines are now presented as North America Utility, North America Lighting and Transportation, North America Coatings, North America Telecommunications, and International Infrastructure and Solar, replacing the previous presentation of Utility, Lighting and Transportation, Coatings, Telecommunications, and Solar. Within the Agriculture segment, product lines are now presented as Agriculture, replacing the previous presentation of Irrigation Equipment and Parts and Technology Products and Services. The prior period product line amounts have been recast to conform to the current period presentation.</w:t>
      </w:r>
    </w:p>
    <w:p>
      <w:pPr>
        <w:pStyle w:val="TextBody"/>
        <w:bidi w:val="0"/>
        <w:spacing w:before="0" w:after="0"/>
        <w:ind w:left="0" w:right="0" w:hanging="0"/>
        <w:jc w:val="left"/>
        <w:rPr/>
      </w:pPr>
      <w:r>
        <w:rPr/>
        <w:t>​</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27,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713,814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139,157</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849,020</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165,127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104,542</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269,669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1,118,689</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456,738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456,738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130,502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130,502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69,037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66,814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56,985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56,985</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165,679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165,679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241,971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1,118,689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07" w:name="Tc_g_ycGU4yM0Ol8FQhhdTeQw_8_5"/>
      <w:bookmarkStart w:id="1408" w:name="Tc_5lbvebbErkm5-UN94hUrTA_8_2"/>
      <w:bookmarkStart w:id="1409" w:name="Tc_mG2gJBkJRES-b2GArHo5yw_8_0"/>
      <w:bookmarkStart w:id="1410" w:name="Tc_Tyl9D5exJUuK3rm1S9cLcg_7_0"/>
      <w:bookmarkStart w:id="1411" w:name="Tc_CvhuPQAJJ0uKthNJ4mc44w_6_0"/>
      <w:bookmarkStart w:id="1412" w:name="Tc_o34TJEcpAUeo8bG-aOJWcQ_5_0"/>
      <w:bookmarkStart w:id="1413" w:name="Tc_zr_GmGpAVEO5h-Y_HsdKHQ_4_5"/>
      <w:bookmarkStart w:id="1414" w:name="Tc_7Cl6Uxkae0KaJYgoTFKh_Q_4_2"/>
      <w:bookmarkStart w:id="1415" w:name="Tc_pfDtN_soaUqu6CMjzyshcw_4_0"/>
      <w:bookmarkStart w:id="1416" w:name="Tc_wh6sAyR8WkypT9gRZE2nsQ_3_0"/>
      <w:bookmarkStart w:id="1417" w:name="Tc_KUmLRm4HHU6ZGXpCRDBEDQ_2_5"/>
      <w:bookmarkStart w:id="1418" w:name="Tc_QMitH9hJxUiH7Q8AkoFWAA_2_2"/>
      <w:bookmarkStart w:id="1419" w:name="Tc_P_4IyPARdkOhZmIj99sfzA_1_5"/>
      <w:bookmarkStart w:id="1420" w:name="Tc_iCuWHy132kiSPcTns8YQkQ_1_2"/>
      <w:bookmarkStart w:id="1421" w:name="_0d46e5da_69fe_4899_bcf6_2ece04b8e78e"/>
      <w:bookmarkStart w:id="1422" w:name="Tc_Y0ntdkXpgEClCJcnvu2PMg_15_11"/>
      <w:bookmarkStart w:id="1423" w:name="Tc_2qKNlPADKEqwGZJbMusipQ_15_8"/>
      <w:bookmarkStart w:id="1424" w:name="Tc_fj3c1HCw_Uiuykb2oi_dYw_15_5"/>
      <w:bookmarkStart w:id="1425" w:name="Tc_4lynqMb6iUKiIdpiJuZE5g_15_2"/>
      <w:bookmarkStart w:id="1426" w:name="Tc_fOiYVAi2t0KFd1VkNMEx1g_15_0"/>
      <w:bookmarkStart w:id="1427" w:name="Tc__a_QdVKLAEGokDUBiQf8MA_14_3"/>
      <w:bookmarkStart w:id="1428" w:name="Tc_zIQD-InkU06DYMI50yAFvA_14_0"/>
      <w:bookmarkStart w:id="1429" w:name="Tc_WrHOWQFmFUGXMarBEQcOlQ_13_6"/>
      <w:bookmarkStart w:id="1430" w:name="Tc_U-2D9rf4V0if6xT184aCTQ_13_0"/>
      <w:bookmarkStart w:id="1431" w:name="Tc_rk8f6rKeTEq5Xs-OaNTiLw_12_9"/>
      <w:bookmarkStart w:id="1432" w:name="Tc_x0rf8dfLKEqDsELiN0c9Ng_12_6"/>
      <w:bookmarkStart w:id="1433" w:name="Tc_xFumaphTR0iBCdHh3OQ9PA_12_0"/>
      <w:bookmarkStart w:id="1434" w:name="Tc_kkmUIMD3WEy9-Rf4GwOnvw_11_6"/>
      <w:bookmarkStart w:id="1435" w:name="Tc_QLY4WaRYK0mb8drJcjyaKQ_11_0"/>
      <w:bookmarkStart w:id="1436" w:name="Tc_3cthnoVAbEOk5D3NGM7sYA_10_9"/>
      <w:bookmarkStart w:id="1437" w:name="Tc_9YpT1xhEi0Wam9jxdE5MEg_10_6"/>
      <w:bookmarkStart w:id="1438" w:name="Tc_0gJqDyV9p0iMUE8Up641DA_10_0"/>
      <w:bookmarkStart w:id="1439" w:name="Tc_8xKsuh17oUCSOkXJ9H__zQ_9_11"/>
      <w:bookmarkStart w:id="1440" w:name="Tc_fZUZH3apBUaoSbV6UwXMAQ_9_9"/>
      <w:bookmarkStart w:id="1441" w:name="Tc_AnEAshCvcUaYo9iwFoKM4Q_9_8"/>
      <w:bookmarkStart w:id="1442" w:name="Tc_Y3H1Cow75Uea94zp6QNFXA_9_6"/>
      <w:bookmarkStart w:id="1443" w:name="Tc_u0BUqOU-eEukYCXpSVSHEQ_9_5"/>
      <w:bookmarkStart w:id="1444" w:name="Tc_Q0o_NM0EX0yMF3R9iqfHxw_9_2"/>
      <w:bookmarkStart w:id="1445" w:name="Tc_lcP_2EyQH0ekxdEcNqg-Zg_9_0"/>
      <w:bookmarkStart w:id="1446" w:name="Tc_YFuYGKuIm0eXI9OtrUGGKg_8_0"/>
      <w:bookmarkStart w:id="1447" w:name="Tc_28ulDSTiKEKokrilsc3j9A_6_11"/>
      <w:bookmarkStart w:id="1448" w:name="Tc_01lpJMjLn0ecTK3e4K46VQ_6_8"/>
      <w:bookmarkStart w:id="1449" w:name="Tc_iSnVoGhlqEeXN2reWlG4Ug_6_5"/>
      <w:bookmarkStart w:id="1450" w:name="Tc_5sj2hvJw20qkhPzpLW51wg_6_2"/>
      <w:bookmarkStart w:id="1451" w:name="Tc_Ceco1M85aEWxBFO5Sbvs_g_6_0"/>
      <w:bookmarkStart w:id="1452" w:name="Tc_APcBjMoJPEawNbo42nEN_g_5_0"/>
      <w:bookmarkStart w:id="1453" w:name="Tc_xxqYgOKB-UOQQ6PjGPb5rA_4_11"/>
      <w:bookmarkStart w:id="1454" w:name="Tc_qcmaBX5zQ0aaoY-rWpJVrw_4_8"/>
      <w:bookmarkStart w:id="1455" w:name="Tc_b_EtbAcI4Uy-H8yXGpw8Bg_4_5"/>
      <w:bookmarkStart w:id="1456" w:name="Tc_tnIQikUDXEq-w9V3GTOAGA_4_2"/>
      <w:bookmarkStart w:id="1457" w:name="Tc_-f3P4pTEREmtoYvWfyMbCg_4_0"/>
      <w:bookmarkStart w:id="1458" w:name="Tc_v8c-Dmora02ns3ZQEvNaeg_3_0"/>
      <w:bookmarkStart w:id="1459" w:name="Tc_ZS1lIdDzW0W63YzM5zgS2A_2_11"/>
      <w:bookmarkStart w:id="1460" w:name="Tc_pLNpI4ONXEmHCbgtfYF4vA_2_8"/>
      <w:bookmarkStart w:id="1461" w:name="Tc_4kQpJ9wmbEy7FYxQZckRxQ_2_5"/>
      <w:bookmarkStart w:id="1462" w:name="Tc_nWXXYuEAtEaYBnk08PmBpA_2_2"/>
      <w:bookmarkStart w:id="1463" w:name="Tc_BaGjBGFaqEi27oten5b5Fg_1_2"/>
      <w:bookmarkStart w:id="1464" w:name="_3672d145_1c17_4cf1_87f2_be9710fdbf14"/>
      <w:bookmarkStart w:id="1465" w:name="Tc_bTYLICavr0yJmDUX1yEzjQ_15_11"/>
      <w:bookmarkStart w:id="1466" w:name="Tc_XLKDdul2OUeP_Yr7RWfDiw_15_8"/>
      <w:bookmarkStart w:id="1467" w:name="Tc_1-XRHQL2U0WF4EE91ViDZA_15_5"/>
      <w:bookmarkStart w:id="1468" w:name="Tc_y36za7JApUKNUVay9RCacQ_15_2"/>
      <w:bookmarkStart w:id="1469" w:name="Tc_PzEzM1psHEe4uHSsvaDbkQ_15_0"/>
      <w:bookmarkStart w:id="1470" w:name="Tc_63YoiNNhrUuo7nnyHmvrzQ_14_3"/>
      <w:bookmarkStart w:id="1471" w:name="Tc_rl79mbOX2U-wz-X4hWVKcg_14_0"/>
      <w:bookmarkStart w:id="1472" w:name="Tc_7RxL8kLApEesTbvJaDTNxQ_13_9"/>
      <w:bookmarkStart w:id="1473" w:name="Tc_yedhvzJgtUCRCqDQB3PbPw_13_6"/>
      <w:bookmarkStart w:id="1474" w:name="Tc_i89x4tHt30K8Oq0MyYS8EA_13_0"/>
      <w:bookmarkStart w:id="1475" w:name="Tc_HPe-oq1_2UiTV9Ki1U2zig_12_9"/>
      <w:bookmarkStart w:id="1476" w:name="Tc_iNvJtMHgq0CiwZ11QsxWfQ_12_6"/>
      <w:bookmarkStart w:id="1477" w:name="Tc_KEjMmqaC-k2qmQv87d3Nlw_12_0"/>
      <w:bookmarkStart w:id="1478" w:name="Tc_HTc7xVSAnEiBrtfcuvyQ1A_11_6"/>
      <w:bookmarkStart w:id="1479" w:name="Tc_6QTR5n015UqtsxkJd41T5g_11_0"/>
      <w:bookmarkStart w:id="1480" w:name="Tc_yqK5gKKpPEmVzMZB0zfE0Q_10_9"/>
      <w:bookmarkStart w:id="1481" w:name="Tc_4Lk45KTNE0qCln-1tCpN2A_10_6"/>
      <w:bookmarkStart w:id="1482" w:name="Tc_lX7XvGpr2ESoIljgs4Eh3g_10_0"/>
      <w:bookmarkStart w:id="1483" w:name="Tc_qbddPVjoukq4YunzCFbb8A_9_11"/>
      <w:bookmarkStart w:id="1484" w:name="Tc_xwk6l8jBU029m_3pcGVWcw_9_9"/>
      <w:bookmarkStart w:id="1485" w:name="Tc_AsouE01MY0iVdov-MKDydg_9_8"/>
      <w:bookmarkStart w:id="1486" w:name="Tc_xkoigOhxjkWaO2Mi9IHLsQ_9_6"/>
      <w:bookmarkStart w:id="1487" w:name="Tc_4tpHlFgoUEq-tWq07uAYTQ_9_5"/>
      <w:bookmarkStart w:id="1488" w:name="Tc_aaR0Oag70ku3ur-F_Om6Hw_9_2"/>
      <w:bookmarkStart w:id="1489" w:name="Tc_irDsTJoPE0O4xSL5e150rg_9_0"/>
      <w:bookmarkStart w:id="1490" w:name="Tc_hglAW3z6uUaU86FE1Ncxcg_8_0"/>
      <w:bookmarkStart w:id="1491" w:name="Tc_RP_fH9yseUa7OyWnjABqpA_6_11"/>
      <w:bookmarkStart w:id="1492" w:name="Tc_ENiSYqQa3Eq5uoJT8t15ug_6_8"/>
      <w:bookmarkStart w:id="1493" w:name="Tc_5wPVM5X2Z0-5iXli4FdA5Q_6_5"/>
      <w:bookmarkStart w:id="1494" w:name="Tc_3oPJc7ulXUeH3-8hnztJkQ_6_2"/>
      <w:bookmarkStart w:id="1495" w:name="Tc_7dZFlMu300eqnbP0jy8UYQ_6_0"/>
      <w:bookmarkStart w:id="1496" w:name="Tc_2HG0s-mAf0izEZwgncnBcg_5_9"/>
      <w:bookmarkStart w:id="1497" w:name="Tc_1OZMfVkqiUqccczMOmAQRg_5_0"/>
      <w:bookmarkStart w:id="1498" w:name="Tc_n3w0Vl67vEqNvl7Z1utgow_4_11"/>
      <w:bookmarkStart w:id="1499" w:name="Tc_jLu_BC7zkU68nLw4cPOHuw_4_8"/>
      <w:bookmarkStart w:id="1500" w:name="Tc_jwDYrddO9EKU1TMnsQNQ2A_4_5"/>
      <w:bookmarkStart w:id="1501" w:name="Tc_xMCd4ptDt0WhMK_gN7Wasg_4_2"/>
      <w:bookmarkStart w:id="1502" w:name="Tc_ozeNXGgKAEKX4hdLDTQIMA_4_0"/>
      <w:bookmarkStart w:id="1503" w:name="Tc_YVUIieOTEEa3fGTmFSKMpw_3_0"/>
      <w:bookmarkStart w:id="1504" w:name="Tc_WSC4CJiL3UypONl2NQP_WA_2_11"/>
      <w:bookmarkStart w:id="1505" w:name="Tc_qTJNix8eUUawVamJiOi9JA_2_8"/>
      <w:bookmarkStart w:id="1506" w:name="Tc_ThB2Qbpz5kGdsaDh1Vx0OA_2_5"/>
      <w:bookmarkStart w:id="1507" w:name="Tc_x9hW4cHjlkad3IQK4ioP6A_2_2"/>
      <w:bookmarkStart w:id="1508" w:name="Tc_prcUhXZvlEyvsyi6p5q3fw_1_2"/>
      <w:bookmarkStart w:id="1509" w:name="_d565888e_aba6_483b_adb3_c51c16520800"/>
      <w:bookmarkStart w:id="1510" w:name="Tc_6xU32qfZcUGYtG_LFXnkaQ_15_11"/>
      <w:bookmarkStart w:id="1511" w:name="Tc_3zNwaDsxBECHD5c6pkBVDQ_15_8"/>
      <w:bookmarkStart w:id="1512" w:name="Tc_kivH_PmdQEu49FkvYEV6rQ_15_5"/>
      <w:bookmarkStart w:id="1513" w:name="Tc_sjwGO7oMl0Of1j-IFx2MrQ_15_2"/>
      <w:bookmarkStart w:id="1514" w:name="Tc_Oej0eRgI-UqS2s2eoJCz4g_15_0"/>
      <w:bookmarkStart w:id="1515" w:name="Tc_np2EjRLIKk6sL60ZtyWAOQ_14_3"/>
      <w:bookmarkStart w:id="1516" w:name="Tc_N2TiWrzb6k6zDGOXJRRfuA_14_0"/>
      <w:bookmarkStart w:id="1517" w:name="Tc_XpwEDtZX_kCg__6QX9nH4w_13_6"/>
      <w:bookmarkStart w:id="1518" w:name="Tc_dLq-XevEKESg7HiQslemmQ_13_0"/>
      <w:bookmarkStart w:id="1519" w:name="Tc_5WG10HuPVUSjEKihkftxcw_12_9"/>
      <w:bookmarkStart w:id="1520" w:name="Tc_Y75Lj4ccN0aJXEJcc0zbXA_12_6"/>
      <w:bookmarkStart w:id="1521" w:name="Tc_dXWRz3xvskCGAgtESSFmhQ_12_0"/>
      <w:bookmarkStart w:id="1522" w:name="Tc_Z8WTNj9kBkayap1UmUPVNQ_11_6"/>
      <w:bookmarkStart w:id="1523" w:name="Tc_qeD7ItQgxku2YFXVkr5rBA_11_0"/>
      <w:bookmarkStart w:id="1524" w:name="Tc_bkvqbUPld0S7G7dDUlpbyA_10_9"/>
      <w:bookmarkStart w:id="1525" w:name="Tc_0xQYBk00wUCK0imYIJnOpw_10_6"/>
      <w:bookmarkStart w:id="1526" w:name="Tc_bXksAyRLLUqnB-mccrOlvw_10_0"/>
      <w:bookmarkStart w:id="1527" w:name="Tc_4WE7ggsd_kWWF5CXr1ZBjA_9_11"/>
      <w:bookmarkStart w:id="1528" w:name="Tc_PzrSpdZCkEeW-TE7JHdmlA_9_9"/>
      <w:bookmarkStart w:id="1529" w:name="Tc_hsyu-tfN_UCCd0l1nfXhVw_9_8"/>
      <w:bookmarkStart w:id="1530" w:name="Tc_-U1aJCbnoki2vHoLy13hMg_9_6"/>
      <w:bookmarkStart w:id="1531" w:name="Tc__x_3ffK-nEWRdlUZ5duxHg_9_5"/>
      <w:bookmarkStart w:id="1532" w:name="Tc_dzfBzo2iEU-deucFvzcctg_9_2"/>
      <w:bookmarkStart w:id="1533" w:name="Tc_h0Rv6xA8YEeJ8xS3_tYuUA_9_0"/>
      <w:bookmarkStart w:id="1534" w:name="Tc_VVb8YefYTUGIDRCE-f1Vyw_8_0"/>
      <w:bookmarkStart w:id="1535" w:name="Tc_AwLvobBduk6eirQLEM_JXQ_6_11"/>
      <w:bookmarkStart w:id="1536" w:name="Tc_7E3qrJAp3EeCTKcJ8x8_BA_6_8"/>
      <w:bookmarkStart w:id="1537" w:name="Tc_13SOXqTgq0WyLzdtyWzt7w_6_5"/>
      <w:bookmarkStart w:id="1538" w:name="Tc_avDkG3d-jkyzXDj6WY759Q_6_2"/>
      <w:bookmarkStart w:id="1539" w:name="Tc_sgisJrM_YkSlVj8asH6uYQ_6_0"/>
      <w:bookmarkStart w:id="1540" w:name="Tc_S4lNsXCzn0WE-h9x_YS2bw_5_0"/>
      <w:bookmarkStart w:id="1541" w:name="Tc_HKnxXa8kqk-zFEXY_1LU3A_4_11"/>
      <w:bookmarkStart w:id="1542" w:name="Tc_djegE4V1nE-ON-PJNhuLCA_4_8"/>
      <w:bookmarkStart w:id="1543" w:name="Tc_kjZ-WlCbeUCJ5SLu-v8q2A_4_5"/>
      <w:bookmarkStart w:id="1544" w:name="Tc_Ts_2_l5WW0OrvkNVlGccKg_4_2"/>
      <w:bookmarkStart w:id="1545" w:name="Tc_GeY8dFXC3kKmoIX0BX6vUw_4_0"/>
      <w:bookmarkStart w:id="1546" w:name="Tc_IHIP9ck8tEmBXWp3YI6jeQ_3_0"/>
      <w:bookmarkStart w:id="1547" w:name="Tc_w1JborMnTk6MgOphIBzxBQ_2_11"/>
      <w:bookmarkStart w:id="1548" w:name="Tc_pTuF-6njAEeqXsoepQFsWw_2_8"/>
      <w:bookmarkStart w:id="1549" w:name="Tc_CxdQoHGXp0KZ6yzVSWLtmA_2_5"/>
      <w:bookmarkStart w:id="1550" w:name="Tc_umuLm8Kkg06VDVqEwJJXjA_2_2"/>
      <w:bookmarkStart w:id="1551" w:name="Tc_vDDIx5PepkyPZxpcEKoFEw_1_2"/>
      <w:bookmarkStart w:id="1552" w:name="_96e785db_bccb_4bc0_a99e_0b43d98069ab"/>
      <w:bookmarkStart w:id="1553" w:name="Tc_g_ycGU4yM0Ol8FQhhdTeQw_8_5"/>
      <w:bookmarkStart w:id="1554" w:name="Tc_5lbvebbErkm5-UN94hUrTA_8_2"/>
      <w:bookmarkStart w:id="1555" w:name="Tc_mG2gJBkJRES-b2GArHo5yw_8_0"/>
      <w:bookmarkStart w:id="1556" w:name="Tc_Tyl9D5exJUuK3rm1S9cLcg_7_0"/>
      <w:bookmarkStart w:id="1557" w:name="Tc_CvhuPQAJJ0uKthNJ4mc44w_6_0"/>
      <w:bookmarkStart w:id="1558" w:name="Tc_o34TJEcpAUeo8bG-aOJWcQ_5_0"/>
      <w:bookmarkStart w:id="1559" w:name="Tc_zr_GmGpAVEO5h-Y_HsdKHQ_4_5"/>
      <w:bookmarkStart w:id="1560" w:name="Tc_7Cl6Uxkae0KaJYgoTFKh_Q_4_2"/>
      <w:bookmarkStart w:id="1561" w:name="Tc_pfDtN_soaUqu6CMjzyshcw_4_0"/>
      <w:bookmarkStart w:id="1562" w:name="Tc_wh6sAyR8WkypT9gRZE2nsQ_3_0"/>
      <w:bookmarkStart w:id="1563" w:name="Tc_KUmLRm4HHU6ZGXpCRDBEDQ_2_5"/>
      <w:bookmarkStart w:id="1564" w:name="Tc_QMitH9hJxUiH7Q8AkoFWAA_2_2"/>
      <w:bookmarkStart w:id="1565" w:name="Tc_P_4IyPARdkOhZmIj99sfzA_1_5"/>
      <w:bookmarkStart w:id="1566" w:name="Tc_iCuWHy132kiSPcTns8YQkQ_1_2"/>
      <w:bookmarkStart w:id="1567" w:name="_0d46e5da_69fe_4899_bcf6_2ece04b8e78e"/>
      <w:bookmarkStart w:id="1568" w:name="Tc_Y0ntdkXpgEClCJcnvu2PMg_15_11"/>
      <w:bookmarkStart w:id="1569" w:name="Tc_2qKNlPADKEqwGZJbMusipQ_15_8"/>
      <w:bookmarkStart w:id="1570" w:name="Tc_fj3c1HCw_Uiuykb2oi_dYw_15_5"/>
      <w:bookmarkStart w:id="1571" w:name="Tc_4lynqMb6iUKiIdpiJuZE5g_15_2"/>
      <w:bookmarkStart w:id="1572" w:name="Tc_fOiYVAi2t0KFd1VkNMEx1g_15_0"/>
      <w:bookmarkStart w:id="1573" w:name="Tc__a_QdVKLAEGokDUBiQf8MA_14_3"/>
      <w:bookmarkStart w:id="1574" w:name="Tc_zIQD-InkU06DYMI50yAFvA_14_0"/>
      <w:bookmarkStart w:id="1575" w:name="Tc_WrHOWQFmFUGXMarBEQcOlQ_13_6"/>
      <w:bookmarkStart w:id="1576" w:name="Tc_U-2D9rf4V0if6xT184aCTQ_13_0"/>
      <w:bookmarkStart w:id="1577" w:name="Tc_rk8f6rKeTEq5Xs-OaNTiLw_12_9"/>
      <w:bookmarkStart w:id="1578" w:name="Tc_x0rf8dfLKEqDsELiN0c9Ng_12_6"/>
      <w:bookmarkStart w:id="1579" w:name="Tc_xFumaphTR0iBCdHh3OQ9PA_12_0"/>
      <w:bookmarkStart w:id="1580" w:name="Tc_kkmUIMD3WEy9-Rf4GwOnvw_11_6"/>
      <w:bookmarkStart w:id="1581" w:name="Tc_QLY4WaRYK0mb8drJcjyaKQ_11_0"/>
      <w:bookmarkStart w:id="1582" w:name="Tc_3cthnoVAbEOk5D3NGM7sYA_10_9"/>
      <w:bookmarkStart w:id="1583" w:name="Tc_9YpT1xhEi0Wam9jxdE5MEg_10_6"/>
      <w:bookmarkStart w:id="1584" w:name="Tc_0gJqDyV9p0iMUE8Up641DA_10_0"/>
      <w:bookmarkStart w:id="1585" w:name="Tc_8xKsuh17oUCSOkXJ9H__zQ_9_11"/>
      <w:bookmarkStart w:id="1586" w:name="Tc_fZUZH3apBUaoSbV6UwXMAQ_9_9"/>
      <w:bookmarkStart w:id="1587" w:name="Tc_AnEAshCvcUaYo9iwFoKM4Q_9_8"/>
      <w:bookmarkStart w:id="1588" w:name="Tc_Y3H1Cow75Uea94zp6QNFXA_9_6"/>
      <w:bookmarkStart w:id="1589" w:name="Tc_u0BUqOU-eEukYCXpSVSHEQ_9_5"/>
      <w:bookmarkStart w:id="1590" w:name="Tc_Q0o_NM0EX0yMF3R9iqfHxw_9_2"/>
      <w:bookmarkStart w:id="1591" w:name="Tc_lcP_2EyQH0ekxdEcNqg-Zg_9_0"/>
      <w:bookmarkStart w:id="1592" w:name="Tc_YFuYGKuIm0eXI9OtrUGGKg_8_0"/>
      <w:bookmarkStart w:id="1593" w:name="Tc_28ulDSTiKEKokrilsc3j9A_6_11"/>
      <w:bookmarkStart w:id="1594" w:name="Tc_01lpJMjLn0ecTK3e4K46VQ_6_8"/>
      <w:bookmarkStart w:id="1595" w:name="Tc_iSnVoGhlqEeXN2reWlG4Ug_6_5"/>
      <w:bookmarkStart w:id="1596" w:name="Tc_5sj2hvJw20qkhPzpLW51wg_6_2"/>
      <w:bookmarkStart w:id="1597" w:name="Tc_Ceco1M85aEWxBFO5Sbvs_g_6_0"/>
      <w:bookmarkStart w:id="1598" w:name="Tc_APcBjMoJPEawNbo42nEN_g_5_0"/>
      <w:bookmarkStart w:id="1599" w:name="Tc_xxqYgOKB-UOQQ6PjGPb5rA_4_11"/>
      <w:bookmarkStart w:id="1600" w:name="Tc_qcmaBX5zQ0aaoY-rWpJVrw_4_8"/>
      <w:bookmarkStart w:id="1601" w:name="Tc_b_EtbAcI4Uy-H8yXGpw8Bg_4_5"/>
      <w:bookmarkStart w:id="1602" w:name="Tc_tnIQikUDXEq-w9V3GTOAGA_4_2"/>
      <w:bookmarkStart w:id="1603" w:name="Tc_-f3P4pTEREmtoYvWfyMbCg_4_0"/>
      <w:bookmarkStart w:id="1604" w:name="Tc_v8c-Dmora02ns3ZQEvNaeg_3_0"/>
      <w:bookmarkStart w:id="1605" w:name="Tc_ZS1lIdDzW0W63YzM5zgS2A_2_11"/>
      <w:bookmarkStart w:id="1606" w:name="Tc_pLNpI4ONXEmHCbgtfYF4vA_2_8"/>
      <w:bookmarkStart w:id="1607" w:name="Tc_4kQpJ9wmbEy7FYxQZckRxQ_2_5"/>
      <w:bookmarkStart w:id="1608" w:name="Tc_nWXXYuEAtEaYBnk08PmBpA_2_2"/>
      <w:bookmarkStart w:id="1609" w:name="Tc_BaGjBGFaqEi27oten5b5Fg_1_2"/>
      <w:bookmarkStart w:id="1610" w:name="_3672d145_1c17_4cf1_87f2_be9710fdbf14"/>
      <w:bookmarkStart w:id="1611" w:name="Tc_bTYLICavr0yJmDUX1yEzjQ_15_11"/>
      <w:bookmarkStart w:id="1612" w:name="Tc_XLKDdul2OUeP_Yr7RWfDiw_15_8"/>
      <w:bookmarkStart w:id="1613" w:name="Tc_1-XRHQL2U0WF4EE91ViDZA_15_5"/>
      <w:bookmarkStart w:id="1614" w:name="Tc_y36za7JApUKNUVay9RCacQ_15_2"/>
      <w:bookmarkStart w:id="1615" w:name="Tc_PzEzM1psHEe4uHSsvaDbkQ_15_0"/>
      <w:bookmarkStart w:id="1616" w:name="Tc_63YoiNNhrUuo7nnyHmvrzQ_14_3"/>
      <w:bookmarkStart w:id="1617" w:name="Tc_rl79mbOX2U-wz-X4hWVKcg_14_0"/>
      <w:bookmarkStart w:id="1618" w:name="Tc_7RxL8kLApEesTbvJaDTNxQ_13_9"/>
      <w:bookmarkStart w:id="1619" w:name="Tc_yedhvzJgtUCRCqDQB3PbPw_13_6"/>
      <w:bookmarkStart w:id="1620" w:name="Tc_i89x4tHt30K8Oq0MyYS8EA_13_0"/>
      <w:bookmarkStart w:id="1621" w:name="Tc_HPe-oq1_2UiTV9Ki1U2zig_12_9"/>
      <w:bookmarkStart w:id="1622" w:name="Tc_iNvJtMHgq0CiwZ11QsxWfQ_12_6"/>
      <w:bookmarkStart w:id="1623" w:name="Tc_KEjMmqaC-k2qmQv87d3Nlw_12_0"/>
      <w:bookmarkStart w:id="1624" w:name="Tc_HTc7xVSAnEiBrtfcuvyQ1A_11_6"/>
      <w:bookmarkStart w:id="1625" w:name="Tc_6QTR5n015UqtsxkJd41T5g_11_0"/>
      <w:bookmarkStart w:id="1626" w:name="Tc_yqK5gKKpPEmVzMZB0zfE0Q_10_9"/>
      <w:bookmarkStart w:id="1627" w:name="Tc_4Lk45KTNE0qCln-1tCpN2A_10_6"/>
      <w:bookmarkStart w:id="1628" w:name="Tc_lX7XvGpr2ESoIljgs4Eh3g_10_0"/>
      <w:bookmarkStart w:id="1629" w:name="Tc_qbddPVjoukq4YunzCFbb8A_9_11"/>
      <w:bookmarkStart w:id="1630" w:name="Tc_xwk6l8jBU029m_3pcGVWcw_9_9"/>
      <w:bookmarkStart w:id="1631" w:name="Tc_AsouE01MY0iVdov-MKDydg_9_8"/>
      <w:bookmarkStart w:id="1632" w:name="Tc_xkoigOhxjkWaO2Mi9IHLsQ_9_6"/>
      <w:bookmarkStart w:id="1633" w:name="Tc_4tpHlFgoUEq-tWq07uAYTQ_9_5"/>
      <w:bookmarkStart w:id="1634" w:name="Tc_aaR0Oag70ku3ur-F_Om6Hw_9_2"/>
      <w:bookmarkStart w:id="1635" w:name="Tc_irDsTJoPE0O4xSL5e150rg_9_0"/>
      <w:bookmarkStart w:id="1636" w:name="Tc_hglAW3z6uUaU86FE1Ncxcg_8_0"/>
      <w:bookmarkStart w:id="1637" w:name="Tc_RP_fH9yseUa7OyWnjABqpA_6_11"/>
      <w:bookmarkStart w:id="1638" w:name="Tc_ENiSYqQa3Eq5uoJT8t15ug_6_8"/>
      <w:bookmarkStart w:id="1639" w:name="Tc_5wPVM5X2Z0-5iXli4FdA5Q_6_5"/>
      <w:bookmarkStart w:id="1640" w:name="Tc_3oPJc7ulXUeH3-8hnztJkQ_6_2"/>
      <w:bookmarkStart w:id="1641" w:name="Tc_7dZFlMu300eqnbP0jy8UYQ_6_0"/>
      <w:bookmarkStart w:id="1642" w:name="Tc_2HG0s-mAf0izEZwgncnBcg_5_9"/>
      <w:bookmarkStart w:id="1643" w:name="Tc_1OZMfVkqiUqccczMOmAQRg_5_0"/>
      <w:bookmarkStart w:id="1644" w:name="Tc_n3w0Vl67vEqNvl7Z1utgow_4_11"/>
      <w:bookmarkStart w:id="1645" w:name="Tc_jLu_BC7zkU68nLw4cPOHuw_4_8"/>
      <w:bookmarkStart w:id="1646" w:name="Tc_jwDYrddO9EKU1TMnsQNQ2A_4_5"/>
      <w:bookmarkStart w:id="1647" w:name="Tc_xMCd4ptDt0WhMK_gN7Wasg_4_2"/>
      <w:bookmarkStart w:id="1648" w:name="Tc_ozeNXGgKAEKX4hdLDTQIMA_4_0"/>
      <w:bookmarkStart w:id="1649" w:name="Tc_YVUIieOTEEa3fGTmFSKMpw_3_0"/>
      <w:bookmarkStart w:id="1650" w:name="Tc_WSC4CJiL3UypONl2NQP_WA_2_11"/>
      <w:bookmarkStart w:id="1651" w:name="Tc_qTJNix8eUUawVamJiOi9JA_2_8"/>
      <w:bookmarkStart w:id="1652" w:name="Tc_ThB2Qbpz5kGdsaDh1Vx0OA_2_5"/>
      <w:bookmarkStart w:id="1653" w:name="Tc_x9hW4cHjlkad3IQK4ioP6A_2_2"/>
      <w:bookmarkStart w:id="1654" w:name="Tc_prcUhXZvlEyvsyi6p5q3fw_1_2"/>
      <w:bookmarkStart w:id="1655" w:name="_d565888e_aba6_483b_adb3_c51c16520800"/>
      <w:bookmarkStart w:id="1656" w:name="Tc_6xU32qfZcUGYtG_LFXnkaQ_15_11"/>
      <w:bookmarkStart w:id="1657" w:name="Tc_3zNwaDsxBECHD5c6pkBVDQ_15_8"/>
      <w:bookmarkStart w:id="1658" w:name="Tc_kivH_PmdQEu49FkvYEV6rQ_15_5"/>
      <w:bookmarkStart w:id="1659" w:name="Tc_sjwGO7oMl0Of1j-IFx2MrQ_15_2"/>
      <w:bookmarkStart w:id="1660" w:name="Tc_Oej0eRgI-UqS2s2eoJCz4g_15_0"/>
      <w:bookmarkStart w:id="1661" w:name="Tc_np2EjRLIKk6sL60ZtyWAOQ_14_3"/>
      <w:bookmarkStart w:id="1662" w:name="Tc_N2TiWrzb6k6zDGOXJRRfuA_14_0"/>
      <w:bookmarkStart w:id="1663" w:name="Tc_XpwEDtZX_kCg__6QX9nH4w_13_6"/>
      <w:bookmarkStart w:id="1664" w:name="Tc_dLq-XevEKESg7HiQslemmQ_13_0"/>
      <w:bookmarkStart w:id="1665" w:name="Tc_5WG10HuPVUSjEKihkftxcw_12_9"/>
      <w:bookmarkStart w:id="1666" w:name="Tc_Y75Lj4ccN0aJXEJcc0zbXA_12_6"/>
      <w:bookmarkStart w:id="1667" w:name="Tc_dXWRz3xvskCGAgtESSFmhQ_12_0"/>
      <w:bookmarkStart w:id="1668" w:name="Tc_Z8WTNj9kBkayap1UmUPVNQ_11_6"/>
      <w:bookmarkStart w:id="1669" w:name="Tc_qeD7ItQgxku2YFXVkr5rBA_11_0"/>
      <w:bookmarkStart w:id="1670" w:name="Tc_bkvqbUPld0S7G7dDUlpbyA_10_9"/>
      <w:bookmarkStart w:id="1671" w:name="Tc_0xQYBk00wUCK0imYIJnOpw_10_6"/>
      <w:bookmarkStart w:id="1672" w:name="Tc_bXksAyRLLUqnB-mccrOlvw_10_0"/>
      <w:bookmarkStart w:id="1673" w:name="Tc_4WE7ggsd_kWWF5CXr1ZBjA_9_11"/>
      <w:bookmarkStart w:id="1674" w:name="Tc_PzrSpdZCkEeW-TE7JHdmlA_9_9"/>
      <w:bookmarkStart w:id="1675" w:name="Tc_hsyu-tfN_UCCd0l1nfXhVw_9_8"/>
      <w:bookmarkStart w:id="1676" w:name="Tc_-U1aJCbnoki2vHoLy13hMg_9_6"/>
      <w:bookmarkStart w:id="1677" w:name="Tc__x_3ffK-nEWRdlUZ5duxHg_9_5"/>
      <w:bookmarkStart w:id="1678" w:name="Tc_dzfBzo2iEU-deucFvzcctg_9_2"/>
      <w:bookmarkStart w:id="1679" w:name="Tc_h0Rv6xA8YEeJ8xS3_tYuUA_9_0"/>
      <w:bookmarkStart w:id="1680" w:name="Tc_VVb8YefYTUGIDRCE-f1Vyw_8_0"/>
      <w:bookmarkStart w:id="1681" w:name="Tc_AwLvobBduk6eirQLEM_JXQ_6_11"/>
      <w:bookmarkStart w:id="1682" w:name="Tc_7E3qrJAp3EeCTKcJ8x8_BA_6_8"/>
      <w:bookmarkStart w:id="1683" w:name="Tc_13SOXqTgq0WyLzdtyWzt7w_6_5"/>
      <w:bookmarkStart w:id="1684" w:name="Tc_avDkG3d-jkyzXDj6WY759Q_6_2"/>
      <w:bookmarkStart w:id="1685" w:name="Tc_sgisJrM_YkSlVj8asH6uYQ_6_0"/>
      <w:bookmarkStart w:id="1686" w:name="Tc_S4lNsXCzn0WE-h9x_YS2bw_5_0"/>
      <w:bookmarkStart w:id="1687" w:name="Tc_HKnxXa8kqk-zFEXY_1LU3A_4_11"/>
      <w:bookmarkStart w:id="1688" w:name="Tc_djegE4V1nE-ON-PJNhuLCA_4_8"/>
      <w:bookmarkStart w:id="1689" w:name="Tc_kjZ-WlCbeUCJ5SLu-v8q2A_4_5"/>
      <w:bookmarkStart w:id="1690" w:name="Tc_Ts_2_l5WW0OrvkNVlGccKg_4_2"/>
      <w:bookmarkStart w:id="1691" w:name="Tc_GeY8dFXC3kKmoIX0BX6vUw_4_0"/>
      <w:bookmarkStart w:id="1692" w:name="Tc_IHIP9ck8tEmBXWp3YI6jeQ_3_0"/>
      <w:bookmarkStart w:id="1693" w:name="Tc_w1JborMnTk6MgOphIBzxBQ_2_11"/>
      <w:bookmarkStart w:id="1694" w:name="Tc_pTuF-6njAEeqXsoepQFsWw_2_8"/>
      <w:bookmarkStart w:id="1695" w:name="Tc_CxdQoHGXp0KZ6yzVSWLtmA_2_5"/>
      <w:bookmarkStart w:id="1696" w:name="Tc_umuLm8Kkg06VDVqEwJJXjA_2_2"/>
      <w:bookmarkStart w:id="1697" w:name="Tc_vDDIx5PepkyPZxpcEKoFEw_1_2"/>
      <w:bookmarkStart w:id="1698" w:name="_96e785db_bccb_4bc0_a99e_0b43d98069ab"/>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tbl>
      <w:tblPr>
        <w:tblW w:w="8950"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346"/>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9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616,436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142,482</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754,589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149,089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146,938</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295,959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341,188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341,188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133,765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133,765</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59,184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56,819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77,149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77,149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154,239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1,050,548</w:t>
            </w:r>
          </w:p>
        </w:tc>
      </w:tr>
    </w:tbl>
    <w:p>
      <w:pPr>
        <w:pStyle w:val="TextBody"/>
        <w:bidi w:val="0"/>
        <w:spacing w:before="0" w:after="0"/>
        <w:ind w:left="0" w:right="0" w:hanging="0"/>
        <w:jc w:val="left"/>
        <w:rPr>
          <w:shd w:fill="FFFF00" w:val="clear"/>
        </w:rPr>
      </w:pPr>
      <w:r>
        <w:rPr>
          <w:shd w:fill="FFFF00" w:val="clear"/>
        </w:rPr>
        <w:t>​</w:t>
      </w:r>
    </w:p>
    <w:tbl>
      <w:tblPr>
        <w:tblW w:w="8950"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346"/>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9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27,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1,381,342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278,750</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1,652,421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303,520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191,945</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495,465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2,147,886</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880,922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880,922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249,154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249,154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132,171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127,207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118,489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118,489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304,126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304,126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467,988</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2,147,886</w:t>
            </w:r>
          </w:p>
        </w:tc>
      </w:tr>
    </w:tbl>
    <w:p>
      <w:pPr>
        <w:pStyle w:val="TextBody"/>
        <w:bidi w:val="0"/>
        <w:spacing w:before="0" w:after="0"/>
        <w:ind w:left="0" w:right="0" w:hanging="0"/>
        <w:jc w:val="left"/>
        <w:rPr>
          <w:shd w:fill="FFFF00" w:val="clear"/>
        </w:rPr>
      </w:pPr>
      <w:r>
        <w:rPr>
          <w:shd w:fill="FFFF00" w:val="clear"/>
        </w:rPr>
        <w:t>​</w:t>
      </w:r>
    </w:p>
    <w:tbl>
      <w:tblPr>
        <w:tblW w:w="8950"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346"/>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9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1,193,633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279,958</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1,465,150</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278,113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276,733</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554,712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674,024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674,024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257,888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257,888</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114,892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109,863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141,137</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283,805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283,671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2,019,862</w:t>
            </w:r>
          </w:p>
        </w:tc>
      </w:tr>
    </w:tbl>
    <w:p>
      <w:pPr>
        <w:pStyle w:val="TextBody"/>
        <w:bidi w:val="0"/>
        <w:spacing w:before="0" w:after="0"/>
        <w:ind w:left="0" w:right="0" w:hanging="0"/>
        <w:jc w:val="left"/>
        <w:rPr>
          <w:shd w:fill="FFFF00" w:val="clear"/>
        </w:rPr>
      </w:pPr>
      <w:r>
        <w:rPr>
          <w:shd w:fill="FFFF00" w:val="clear"/>
        </w:rPr>
        <w:t>​</w:t>
      </w:r>
    </w:p>
    <w:tbl>
      <w:tblPr>
        <w:tblW w:w="5030" w:type="dxa"/>
        <w:jc w:val="left"/>
        <w:tblInd w:w="0" w:type="dxa"/>
        <w:tblLayout w:type="fixed"/>
        <w:tblCellMar>
          <w:top w:w="0" w:type="dxa"/>
          <w:left w:w="0" w:type="dxa"/>
          <w:bottom w:w="0" w:type="dxa"/>
          <w:right w:w="0" w:type="dxa"/>
        </w:tblCellMar>
      </w:tblPr>
      <w:tblGrid>
        <w:gridCol w:w="2131"/>
        <w:gridCol w:w="346"/>
        <w:gridCol w:w="196"/>
        <w:gridCol w:w="826"/>
        <w:gridCol w:w="346"/>
        <w:gridCol w:w="206"/>
        <w:gridCol w:w="979"/>
      </w:tblGrid>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pPr>
            <w:r>
              <w:rPr/>
              <w:t>  ​</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2,383,977</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2,312,500</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801,428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768,715</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3,185,405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3,081,215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280,300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288,114</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3,465,705</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28" w:before="0" w:after="5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699" w:name="Tc_gBWAMMoM-UeXUd5FKvpiLQ_9_11"/>
      <w:bookmarkStart w:id="1700" w:name="Tc_RO1omCrOWUWZgLyMbhqVUw_9_8"/>
      <w:bookmarkStart w:id="1701" w:name="Tc_wazbgvAckUmmAtoAzz5G4w_9_5"/>
      <w:bookmarkStart w:id="1702" w:name="Tc_WHMU-jVaq0-k8s5afEZv-Q_9_2"/>
      <w:bookmarkStart w:id="1703" w:name="Tc_xR7pODsLgkCFJ8nzHjcemg_9_0"/>
      <w:bookmarkStart w:id="1704" w:name="Tc_pG-ddLjmLkqagP2fWv-Wog_8_0"/>
      <w:bookmarkStart w:id="1705" w:name="Tc_ei5O4ZmfiUuMWBT2qmsqfw_7_0"/>
      <w:bookmarkStart w:id="1706" w:name="Tc_PzN1vBIgG0e7IC_XDxtIVw_6_0"/>
      <w:bookmarkStart w:id="1707" w:name="Tc_s8fzvRw_2UiiqKWsN2nIkQ_5_11"/>
      <w:bookmarkStart w:id="1708" w:name="Tc_Zrh8mJl_xkijFKvVOsEbFg_5_8"/>
      <w:bookmarkStart w:id="1709" w:name="Tc_iYm5it7Tc0atOxY8eexaIg_5_5"/>
      <w:bookmarkStart w:id="1710" w:name="Tc_mMjeQq9a8UC7xOsGtfZDsA_5_2"/>
      <w:bookmarkStart w:id="1711" w:name="Tc_yzZ6aZbL6ECGMTDlKWE1Ew_5_0"/>
      <w:bookmarkStart w:id="1712" w:name="Tc_YDjhbT6ycU2CoCb1d6qGQA_4_0"/>
      <w:bookmarkStart w:id="1713" w:name="Tc_oVLkssYBNkiPNLSWlaNEkg_3_11"/>
      <w:bookmarkStart w:id="1714" w:name="Tc_ACv1JPYEOUqnKCHMuhCX0w_3_8"/>
      <w:bookmarkStart w:id="1715" w:name="Tc_D33HiDPjQUKxeIOOyd1h9g_3_5"/>
      <w:bookmarkStart w:id="1716" w:name="Tc_fpBdBpyVDUaoq9PedUfT4g_3_2"/>
      <w:bookmarkStart w:id="1717" w:name="Tc_bBzukMTooEWDwAPZTiFJgA_2_11"/>
      <w:bookmarkStart w:id="1718" w:name="Tc_Wo8mwD2mPU6SE6oe21dY3g_2_8"/>
      <w:bookmarkStart w:id="1719" w:name="Tc_b15G5_Ct-UmbXmXLWUY6Gg_2_5"/>
      <w:bookmarkStart w:id="1720" w:name="Tc_w9Ei565RTUyNKg7ZcT50Mg_2_2"/>
      <w:bookmarkStart w:id="1721" w:name="Tc_FZAFRfnVpkabK7oRx939zw_1_8"/>
      <w:bookmarkStart w:id="1722" w:name="Tc_Q8nER8JfdEWg4WXIYcQetw_1_2"/>
      <w:bookmarkStart w:id="1723" w:name="_95919a90_41e8_4efc_ad6a_07a7fa262ec1"/>
      <w:bookmarkStart w:id="1724" w:name="Tc_ilBmozfu8Ee27jgfbbuQaw_9_11"/>
      <w:bookmarkStart w:id="1725" w:name="Tc_YA-H-grkEUWm0pkjMlwcZg_9_8"/>
      <w:bookmarkStart w:id="1726" w:name="Tc_iPlRd9lFTkmfcuWdfPTlmA_9_5"/>
      <w:bookmarkStart w:id="1727" w:name="Tc_Lt1qEa7mnUuLdV5JucJOzw_9_2"/>
      <w:bookmarkStart w:id="1728" w:name="Tc_mITIynaXR0uFY2FZTCL64Q_9_0"/>
      <w:bookmarkStart w:id="1729" w:name="Tc_XDeYQRBMIEWktmVJ6y1wAQ_8_0"/>
      <w:bookmarkStart w:id="1730" w:name="Tc_LhkezUXnKUC1u3exvvR4JQ_7_0"/>
      <w:bookmarkStart w:id="1731" w:name="Tc_ZTNrvtN9QEqyKXOA0DaZog_6_0"/>
      <w:bookmarkStart w:id="1732" w:name="Tc_ANArWPuWU0usiYx5iHPIcA_5_11"/>
      <w:bookmarkStart w:id="1733" w:name="Tc_noYKBP2q5EuIPhjGleoe9Q_5_8"/>
      <w:bookmarkStart w:id="1734" w:name="Tc_ySl_VsmELEijTq4wH0-XMA_5_5"/>
      <w:bookmarkStart w:id="1735" w:name="Tc_rvnTAWUKkEuimGPAdgaexg_5_2"/>
      <w:bookmarkStart w:id="1736" w:name="Tc_da14DGY380ev0uMPrpzN4w_5_0"/>
      <w:bookmarkStart w:id="1737" w:name="Tc_EVYPSMvXREakrZv-9sreQA_4_0"/>
      <w:bookmarkStart w:id="1738" w:name="Tc_4tO54z1Mwkm5K6Itapa-2A_3_11"/>
      <w:bookmarkStart w:id="1739" w:name="Tc_7Fx1EcL6vkeCoOEN3NGWUQ_3_8"/>
      <w:bookmarkStart w:id="1740" w:name="Tc_tn92QpYzekiZ87QI6CLEXQ_3_5"/>
      <w:bookmarkStart w:id="1741" w:name="Tc_B8ey-TNQo0iuSE7dE1psRg_3_2"/>
      <w:bookmarkStart w:id="1742" w:name="Tc_SL_GMBr4sUi71w_OMHRwUQ_2_11"/>
      <w:bookmarkStart w:id="1743" w:name="Tc_mt383Dlf5EGngeXO8IhKSw_2_8"/>
      <w:bookmarkStart w:id="1744" w:name="Tc_t74kdN4xMkCc_9fFNtLEVg_2_5"/>
      <w:bookmarkStart w:id="1745" w:name="Tc_RNMLVRhk5065zM1Fl5A5NQ_2_2"/>
      <w:bookmarkStart w:id="1746" w:name="Tc_CqOwmu-iR0mwM_QWBS--Og_1_8"/>
      <w:bookmarkStart w:id="1747" w:name="Tc_5pBlFCPPa0SJXjOzt3MagQ_1_2"/>
      <w:bookmarkStart w:id="1748" w:name="_8dfb7e4f_3288_4cb0_b838_de0391221372"/>
      <w:bookmarkStart w:id="1749" w:name="Tc_gBWAMMoM-UeXUd5FKvpiLQ_9_11"/>
      <w:bookmarkStart w:id="1750" w:name="Tc_RO1omCrOWUWZgLyMbhqVUw_9_8"/>
      <w:bookmarkStart w:id="1751" w:name="Tc_wazbgvAckUmmAtoAzz5G4w_9_5"/>
      <w:bookmarkStart w:id="1752" w:name="Tc_WHMU-jVaq0-k8s5afEZv-Q_9_2"/>
      <w:bookmarkStart w:id="1753" w:name="Tc_xR7pODsLgkCFJ8nzHjcemg_9_0"/>
      <w:bookmarkStart w:id="1754" w:name="Tc_pG-ddLjmLkqagP2fWv-Wog_8_0"/>
      <w:bookmarkStart w:id="1755" w:name="Tc_ei5O4ZmfiUuMWBT2qmsqfw_7_0"/>
      <w:bookmarkStart w:id="1756" w:name="Tc_PzN1vBIgG0e7IC_XDxtIVw_6_0"/>
      <w:bookmarkStart w:id="1757" w:name="Tc_s8fzvRw_2UiiqKWsN2nIkQ_5_11"/>
      <w:bookmarkStart w:id="1758" w:name="Tc_Zrh8mJl_xkijFKvVOsEbFg_5_8"/>
      <w:bookmarkStart w:id="1759" w:name="Tc_iYm5it7Tc0atOxY8eexaIg_5_5"/>
      <w:bookmarkStart w:id="1760" w:name="Tc_mMjeQq9a8UC7xOsGtfZDsA_5_2"/>
      <w:bookmarkStart w:id="1761" w:name="Tc_yzZ6aZbL6ECGMTDlKWE1Ew_5_0"/>
      <w:bookmarkStart w:id="1762" w:name="Tc_YDjhbT6ycU2CoCb1d6qGQA_4_0"/>
      <w:bookmarkStart w:id="1763" w:name="Tc_oVLkssYBNkiPNLSWlaNEkg_3_11"/>
      <w:bookmarkStart w:id="1764" w:name="Tc_ACv1JPYEOUqnKCHMuhCX0w_3_8"/>
      <w:bookmarkStart w:id="1765" w:name="Tc_D33HiDPjQUKxeIOOyd1h9g_3_5"/>
      <w:bookmarkStart w:id="1766" w:name="Tc_fpBdBpyVDUaoq9PedUfT4g_3_2"/>
      <w:bookmarkStart w:id="1767" w:name="Tc_bBzukMTooEWDwAPZTiFJgA_2_11"/>
      <w:bookmarkStart w:id="1768" w:name="Tc_Wo8mwD2mPU6SE6oe21dY3g_2_8"/>
      <w:bookmarkStart w:id="1769" w:name="Tc_b15G5_Ct-UmbXmXLWUY6Gg_2_5"/>
      <w:bookmarkStart w:id="1770" w:name="Tc_w9Ei565RTUyNKg7ZcT50Mg_2_2"/>
      <w:bookmarkStart w:id="1771" w:name="Tc_FZAFRfnVpkabK7oRx939zw_1_8"/>
      <w:bookmarkStart w:id="1772" w:name="Tc_Q8nER8JfdEWg4WXIYcQetw_1_2"/>
      <w:bookmarkStart w:id="1773" w:name="_95919a90_41e8_4efc_ad6a_07a7fa262ec1"/>
      <w:bookmarkStart w:id="1774" w:name="Tc_ilBmozfu8Ee27jgfbbuQaw_9_11"/>
      <w:bookmarkStart w:id="1775" w:name="Tc_YA-H-grkEUWm0pkjMlwcZg_9_8"/>
      <w:bookmarkStart w:id="1776" w:name="Tc_iPlRd9lFTkmfcuWdfPTlmA_9_5"/>
      <w:bookmarkStart w:id="1777" w:name="Tc_Lt1qEa7mnUuLdV5JucJOzw_9_2"/>
      <w:bookmarkStart w:id="1778" w:name="Tc_mITIynaXR0uFY2FZTCL64Q_9_0"/>
      <w:bookmarkStart w:id="1779" w:name="Tc_XDeYQRBMIEWktmVJ6y1wAQ_8_0"/>
      <w:bookmarkStart w:id="1780" w:name="Tc_LhkezUXnKUC1u3exvvR4JQ_7_0"/>
      <w:bookmarkStart w:id="1781" w:name="Tc_ZTNrvtN9QEqyKXOA0DaZog_6_0"/>
      <w:bookmarkStart w:id="1782" w:name="Tc_ANArWPuWU0usiYx5iHPIcA_5_11"/>
      <w:bookmarkStart w:id="1783" w:name="Tc_noYKBP2q5EuIPhjGleoe9Q_5_8"/>
      <w:bookmarkStart w:id="1784" w:name="Tc_ySl_VsmELEijTq4wH0-XMA_5_5"/>
      <w:bookmarkStart w:id="1785" w:name="Tc_rvnTAWUKkEuimGPAdgaexg_5_2"/>
      <w:bookmarkStart w:id="1786" w:name="Tc_da14DGY380ev0uMPrpzN4w_5_0"/>
      <w:bookmarkStart w:id="1787" w:name="Tc_EVYPSMvXREakrZv-9sreQA_4_0"/>
      <w:bookmarkStart w:id="1788" w:name="Tc_4tO54z1Mwkm5K6Itapa-2A_3_11"/>
      <w:bookmarkStart w:id="1789" w:name="Tc_7Fx1EcL6vkeCoOEN3NGWUQ_3_8"/>
      <w:bookmarkStart w:id="1790" w:name="Tc_tn92QpYzekiZ87QI6CLEXQ_3_5"/>
      <w:bookmarkStart w:id="1791" w:name="Tc_B8ey-TNQo0iuSE7dE1psRg_3_2"/>
      <w:bookmarkStart w:id="1792" w:name="Tc_SL_GMBr4sUi71w_OMHRwUQ_2_11"/>
      <w:bookmarkStart w:id="1793" w:name="Tc_mt383Dlf5EGngeXO8IhKSw_2_8"/>
      <w:bookmarkStart w:id="1794" w:name="Tc_t74kdN4xMkCc_9fFNtLEVg_2_5"/>
      <w:bookmarkStart w:id="1795" w:name="Tc_RNMLVRhk5065zM1Fl5A5NQ_2_2"/>
      <w:bookmarkStart w:id="1796" w:name="Tc_CqOwmu-iR0mwM_QWBS--Og_1_8"/>
      <w:bookmarkStart w:id="1797" w:name="Tc_5pBlFCPPa0SJXjOzt3MagQ_1_2"/>
      <w:bookmarkStart w:id="1798" w:name="_8dfb7e4f_3288_4cb0_b838_de0391221372"/>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p>
    <w:tbl>
      <w:tblPr>
        <w:tblW w:w="7583" w:type="dxa"/>
        <w:jc w:val="left"/>
        <w:tblInd w:w="0" w:type="dxa"/>
        <w:tblLayout w:type="fixed"/>
        <w:tblCellMar>
          <w:top w:w="0" w:type="dxa"/>
          <w:left w:w="0" w:type="dxa"/>
          <w:bottom w:w="0" w:type="dxa"/>
          <w:right w:w="0" w:type="dxa"/>
        </w:tblCellMar>
      </w:tblPr>
      <w:tblGrid>
        <w:gridCol w:w="3106"/>
        <w:gridCol w:w="346"/>
        <w:gridCol w:w="196"/>
        <w:gridCol w:w="601"/>
        <w:gridCol w:w="346"/>
        <w:gridCol w:w="196"/>
        <w:gridCol w:w="601"/>
        <w:gridCol w:w="146"/>
        <w:gridCol w:w="196"/>
        <w:gridCol w:w="601"/>
        <w:gridCol w:w="346"/>
        <w:gridCol w:w="196"/>
        <w:gridCol w:w="706"/>
      </w:tblGrid>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146"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1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31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32,022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28,441</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62,828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54,373</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3,214</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5,446</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capital expenditures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31,655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59,819</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capital expenditures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capital expenditures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31,987</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62,306</w:t>
            </w:r>
          </w:p>
        </w:tc>
      </w:tr>
    </w:tbl>
    <w:p>
      <w:pPr>
        <w:pStyle w:val="TextBody"/>
        <w:bidi w:val="0"/>
        <w:spacing w:before="0" w:after="240"/>
        <w:ind w:left="0" w:right="0" w:hanging="0"/>
        <w:jc w:val="left"/>
        <w:rPr>
          <w:shd w:fill="FFFF00" w:val="clear"/>
        </w:rPr>
      </w:pPr>
      <w:r>
        <w:rPr>
          <w:shd w:fill="FFFF00" w:val="clear"/>
        </w:rPr>
        <w:t>​</w:t>
      </w:r>
    </w:p>
    <w:tbl>
      <w:tblPr>
        <w:tblW w:w="8873" w:type="dxa"/>
        <w:jc w:val="left"/>
        <w:tblInd w:w="0" w:type="dxa"/>
        <w:tblLayout w:type="fixed"/>
        <w:tblCellMar>
          <w:top w:w="0" w:type="dxa"/>
          <w:left w:w="0" w:type="dxa"/>
          <w:bottom w:w="0" w:type="dxa"/>
          <w:right w:w="0" w:type="dxa"/>
        </w:tblCellMar>
      </w:tblPr>
      <w:tblGrid>
        <w:gridCol w:w="4396"/>
        <w:gridCol w:w="346"/>
        <w:gridCol w:w="196"/>
        <w:gridCol w:w="601"/>
        <w:gridCol w:w="346"/>
        <w:gridCol w:w="196"/>
        <w:gridCol w:w="601"/>
        <w:gridCol w:w="146"/>
        <w:gridCol w:w="196"/>
        <w:gridCol w:w="601"/>
        <w:gridCol w:w="346"/>
        <w:gridCol w:w="196"/>
        <w:gridCol w:w="706"/>
      </w:tblGrid>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146"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1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19,206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15,887</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36,841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31,469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4,241</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8,052</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20,128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39,521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depreciation and amortization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2,135</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22,263</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46,832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43,781</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9" w:name="ITEM2MANAGEMENTSDISCUSSIONANDANALYSISOFF"/>
      <w:bookmarkStart w:id="1800" w:name="_6482b864_785f_46c9_b01a_fc62a6e1a27d"/>
      <w:bookmarkEnd w:id="1799"/>
      <w:bookmarkEnd w:id="180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 Industries, Inc., along with its subsidiaries (collectively referred to as the “Company,” “Valmont,” “we,” “us,” or “our”), is a diversified manufacturer of products and services for infrastructure and agriculture markets. Founded in 1946 and headquartered in Omaha, Nebraska, our purpose is to conserve resources and improve life.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contain forward-looking statements as defined by the Private Securities Litigation Reform Act of 1995. These statements are based on assumptions that management has made in light of experience in the industries in which the Company operates, as well as management’s perceptions of historical trends, current conditions, anticipated future developments, and other factors deemed to be relevant. However, these statements are not guarantees of future performance or results. They are subject to risks, uncertainties (some beyond the Company’s control), and various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believes these forward-looking statements are based on reasonable assumptions. However, many factors could cause the actual financial results to differ materially from expectations. These factors include, among others, risk factors described in the Company’s reports to the Securities and Exchange Commission, as well as future economic and market conditions, industry trends, Company performance and financial results, operational efficiencies, availability and pricing of raw materials, availability and market acceptance of new products, product pricing, domestic and international competition, and actions or policy changes by domestic and foreign governments.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should be read in conjunction with the financial statements and notes thereto, and the management’s discussion and analysis included in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Segment net sales in the following table and elsewhere are presented net of intersegment sales. See Note 15 of our Condensed Consolidated Financial Statements for additional information on segment sales and intersegment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Results of Operations</w:t>
      </w:r>
    </w:p>
    <w:tbl>
      <w:tblPr>
        <w:tblW w:w="10205" w:type="dxa"/>
        <w:jc w:val="left"/>
        <w:tblInd w:w="0" w:type="dxa"/>
        <w:tblLayout w:type="fixed"/>
        <w:tblCellMar>
          <w:top w:w="0" w:type="dxa"/>
          <w:left w:w="0" w:type="dxa"/>
          <w:bottom w:w="0" w:type="dxa"/>
          <w:right w:w="0" w:type="dxa"/>
        </w:tblCellMar>
      </w:tblPr>
      <w:tblGrid>
        <w:gridCol w:w="3532"/>
        <w:gridCol w:w="109"/>
        <w:gridCol w:w="196"/>
        <w:gridCol w:w="826"/>
        <w:gridCol w:w="346"/>
        <w:gridCol w:w="196"/>
        <w:gridCol w:w="826"/>
        <w:gridCol w:w="109"/>
        <w:gridCol w:w="706"/>
        <w:gridCol w:w="109"/>
        <w:gridCol w:w="196"/>
        <w:gridCol w:w="826"/>
        <w:gridCol w:w="346"/>
        <w:gridCol w:w="196"/>
        <w:gridCol w:w="826"/>
        <w:gridCol w:w="109"/>
        <w:gridCol w:w="751"/>
      </w:tblGrid>
      <w:tr>
        <w:trPr/>
        <w:tc>
          <w:tcPr>
            <w:tcW w:w="35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5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5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 except per-share amounts</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27, 2026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28, 2025</w:t>
            </w:r>
          </w:p>
        </w:tc>
        <w:tc>
          <w:tcPr>
            <w:tcW w:w="109"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27, 2026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28, 2025</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6.3%</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340,817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321,167</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612,269</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7.4%</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191,670</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335,958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354,458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29,276</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467.4%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321,737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157,590</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104.2%</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8,975</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15,696</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83,241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173.8%</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(loss) per share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Infrastructure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763,092</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1,466,583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14.5%</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227,883</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508,831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440,758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15.4%</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111,187</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206,850</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2.2%</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154,376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25,914</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495.7%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143,126</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107.8%</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Agriculture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467,988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(15.4%)</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93,284</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148,864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171,511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(13.2%)</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52,366</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94,356</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(20.0%)</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36,051</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72,288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Corporate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28,117</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53,252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(7.9%)</w:t>
            </w:r>
          </w:p>
        </w:tc>
      </w:tr>
      <w:tr>
        <w:trPr/>
        <w:tc>
          <w:tcPr>
            <w:tcW w:w="3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109"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5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(32,689)</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(57,824)</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240" w:after="240"/>
        <w:ind w:left="0" w:right="0" w:hanging="0"/>
        <w:jc w:val="left"/>
        <w:rPr>
          <w:rFonts w:ascii="Times New Roman;Times;serif" w:hAnsi="Times New Roman;Times;serif"/>
          <w:b w:val="false"/>
          <w:i/>
          <w:sz w:val="16"/>
        </w:rPr>
      </w:pPr>
      <w:r>
        <w:rPr>
          <w:rFonts w:ascii="Times New Roman;Times;serif" w:hAnsi="Times New Roman;Times;serif"/>
          <w:b w:val="false"/>
          <w:i/>
          <w:sz w:val="16"/>
        </w:rPr>
        <w:t>NM = not meaningful</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net sales increased $68.1 million or 6.5% in the second quarter of fiscal 2026 and increased $128.0 million or 6.3% in the first half of fiscal 2026, as compared to the same periods of fiscal 2025. The increases were primarily driven by higher net sales in the Infrastructure segment, particularly within the North America Utility product line, partially offset by lower net sales in the Agriculture segment, primarily from international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gross profit increased $19.7 million or 6.1% in the second quarter of fiscal 2026 and increased $45.4 million or 7.4% in the first half of fiscal 2026, as compared to the same periods of fiscal 2025. The increases were primarily attributable to favorable pricing and higher sales volumes in the Infrastructure segment, particularly within the North America Utility product line. These improvements were partially offset by lower sales volumes in the Agriculture segment, primarily in the Middle East.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Consolidated selling, general, and administrative (“SG&amp;A”) expenses decreased $17.0 million or 8.9% in the second quarter of fiscal 2026 and decreased $18.5 million or 5.2% in the first half of fiscal 2026, as compared to the same periods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2025. In the second quarter of fiscal 2025, the Company recognized $7.0 million of expenses associated with software licenses that were no longer expected to be used, in addition to a $3.2 million write-off related to the Company’s exit from the agriculture solar market in Brazil. The remaining decreases were primarily driven by lower expected credit losses, in part due to certain recoveries within our Agriculture segment operations in Brazil.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operating income increased $136.8 million or 467.4% in the second quarter of fiscal 2026 and increased $164.1 million or 104.2% in the first half of fiscal 2026, as compared to the same periods of fiscal 2025. The increases were primarily attributable to the impairment charges on certain long-lived assets of $91.3 million and realignment charges of $8.9 million recognized in the second quarter of fiscal 2025, as well as lower SG&amp;A expenses in fiscal 2026.</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effective income tax rate in the second quarter and first half of fiscal 2026 was 25.8%, and 25.7%, respectively, as compared to 117.2% and 38.7% in the same periods of fiscal 2025. The decreases in the effective tax rate were primarily attributable to goodwill impairment charges recognized during the second quarter of fiscal 2025 for which no tax benefit was recorded.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Infrastructure Segment</w:t>
      </w:r>
    </w:p>
    <w:tbl>
      <w:tblPr>
        <w:tblW w:w="8037" w:type="dxa"/>
        <w:jc w:val="left"/>
        <w:tblInd w:w="0" w:type="dxa"/>
        <w:tblLayout w:type="fixed"/>
        <w:tblCellMar>
          <w:top w:w="0" w:type="dxa"/>
          <w:left w:w="0" w:type="dxa"/>
          <w:bottom w:w="0" w:type="dxa"/>
          <w:right w:w="0" w:type="dxa"/>
        </w:tblCellMar>
      </w:tblPr>
      <w:tblGrid>
        <w:gridCol w:w="3211"/>
        <w:gridCol w:w="346"/>
        <w:gridCol w:w="196"/>
        <w:gridCol w:w="691"/>
        <w:gridCol w:w="346"/>
        <w:gridCol w:w="196"/>
        <w:gridCol w:w="691"/>
        <w:gridCol w:w="346"/>
        <w:gridCol w:w="196"/>
        <w:gridCol w:w="721"/>
        <w:gridCol w:w="346"/>
        <w:gridCol w:w="751"/>
      </w:tblGrid>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456,738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341,188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115,550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130,502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133,765</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(3,263)</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(2.4%)</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59,184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9,853</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16.6%</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77,149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(20,164)</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(26.1%)</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154,239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7.4%</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113,416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14.8%</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154,376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128,462</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495.7%</w:t>
            </w:r>
          </w:p>
        </w:tc>
      </w:tr>
    </w:tbl>
    <w:p>
      <w:pPr>
        <w:pStyle w:val="TextBody"/>
        <w:bidi w:val="0"/>
        <w:spacing w:before="0" w:after="240"/>
        <w:ind w:left="0" w:right="0" w:hanging="0"/>
        <w:jc w:val="left"/>
        <w:rPr>
          <w:shd w:fill="FFFF00" w:val="clear"/>
        </w:rPr>
      </w:pPr>
      <w:r>
        <w:rPr>
          <w:shd w:fill="FFFF00" w:val="clear"/>
        </w:rPr>
        <w:t>​</w:t>
      </w:r>
    </w:p>
    <w:tbl>
      <w:tblPr>
        <w:tblW w:w="8307" w:type="dxa"/>
        <w:jc w:val="left"/>
        <w:tblInd w:w="0" w:type="dxa"/>
        <w:tblLayout w:type="fixed"/>
        <w:tblCellMar>
          <w:top w:w="0" w:type="dxa"/>
          <w:left w:w="0" w:type="dxa"/>
          <w:bottom w:w="0" w:type="dxa"/>
          <w:right w:w="0" w:type="dxa"/>
        </w:tblCellMar>
      </w:tblPr>
      <w:tblGrid>
        <w:gridCol w:w="3211"/>
        <w:gridCol w:w="346"/>
        <w:gridCol w:w="196"/>
        <w:gridCol w:w="826"/>
        <w:gridCol w:w="346"/>
        <w:gridCol w:w="196"/>
        <w:gridCol w:w="826"/>
        <w:gridCol w:w="346"/>
        <w:gridCol w:w="196"/>
        <w:gridCol w:w="721"/>
        <w:gridCol w:w="346"/>
        <w:gridCol w:w="751"/>
      </w:tblGrid>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880,922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674,024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206,898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30.7%</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249,154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257,888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(8,734)</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(3.4%)</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132,171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114,892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17,279</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118,489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141,137</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(22,648)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(16.0%)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304,126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283,805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20,321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7.2%</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213,116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14.5%</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297,399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143,126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154,273</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107.8%</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Infrastructure segment sales increased $113.4 million or 14.8% in the second quarter of fiscal 2026 and increased $213.1 million or 14.5% in the first half of fiscal 2026, as compared to the same periods of fiscal 2025. The increases were driven by favorable pricing and higher sales volumes in the North America Utility product line, as well as higher sales volumes in the North America Coatings product line. These increases more than offset lower sales volumes in the North America Telecommunications product line. Foreign currency translation favorably impacted results by approximately $7.4 million in the second quarter of fiscal 2026 and $19.4 million the first half of fiscal 2026.</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North America Utility product line sales increased $115.6 million or 33.9% in the second quarter of fiscal 2026 and increased $206.9 million or 30.7% in the first half of fiscal 2026, as compared to the same periods of fiscal 2025, reflecting favorable pricing and higher sales volumes. Demand remained strong, supported by increased electrical energy consumption and continued utility investment to expand and reinforce grid capacity, including investments to serve growing power demand from data centers and other sources of load growth.</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North America Lighting and Transportation product line sales decreased $3.3 million or 2.4% in the second quarter of fiscal 2026 and decreased $8.7 million or 3.4% in the first half of fiscal 2026, as compared to the same periods of fiscal 2025, primarily due to lower sales volumes resulting from certain operational challenges, partially offset by favorable pricing.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North America Coatings product line sales increased $9.9 million or 16.6% in the second quarter of fiscal 2026 and increased $17.3 million or 15.0% in the first half of fiscal 2026, as compared to the same periods of fiscal 2025, driven by higher sales volumes resulting from continued strength in infrastructure-related and data center demand.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North America Telecommunications product line sales decreased $20.2 million or 26.1% in the second quarter of fiscal 2026 and decreased $22.6 million or 16.0% in the first half of fiscal 2026, as compared to the same periods of fiscal 2025, primarily due to lower sales volumes associated with reduced carrier spending.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International Infrastructure and Solar product line sales increased $11.4 million or 7.4% in the second quarter of fiscal 2026 and increased $20.3 million or 7.2% in the first half of fiscal 2026, as compared to the same periods of fiscal 2025. The increases were largely attributable to favorable foreign currency impacts of approximately $7.0 million in the second quarter of fiscal 2026 and $18.3 million in the first half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gross profit increased $36.8 million or 16.1% in the second quarter of fiscal 2026 and increased $68.1 million or 15.4% in the first half of fiscal 2026, as compared to the same periods of fiscal 2025, primarily due to favorable pricing and higher sales volumes in the North America Utility and the North America Coatings product lines.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SG&amp;A expenses decreased $0.9 million or 0.8% in the second quarter of fiscal 2026 and increased $4.6 million or 2.2% in the first half of fiscal 2026, as compared to the same periods of fiscal 2025. The second-quarter decrease was primarily driven by lower expected credit losses, partially offset by higher compensation costs. The increase in the first half of fiscal 2026 was primarily driven by higher compensation and incentive costs, partially offset by lower expected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operating income increased $128.5 million or 495.7% in the second quarter of fiscal 2026 and increased $154.3 million or 107.8% in the first half of fiscal 2026, as compared to the same periods of fiscal 2025. The increases were primarily attributable to the impairment charges of $89.4 million related to certain long-lived assets, primarily in the Solar and Access Systems reporting units, and realignment charges of $1.4 million recorded during the second quarter of fiscal 2025. The increases also reflected favorable pricing and higher sales volumes, partially offset by higher input costs.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Agriculture Segment</w:t>
      </w:r>
    </w:p>
    <w:tbl>
      <w:tblPr>
        <w:tblW w:w="6462" w:type="dxa"/>
        <w:jc w:val="left"/>
        <w:tblInd w:w="0" w:type="dxa"/>
        <w:tblLayout w:type="fixed"/>
        <w:tblCellMar>
          <w:top w:w="0" w:type="dxa"/>
          <w:left w:w="0" w:type="dxa"/>
          <w:bottom w:w="0" w:type="dxa"/>
          <w:right w:w="0" w:type="dxa"/>
        </w:tblCellMar>
      </w:tblPr>
      <w:tblGrid>
        <w:gridCol w:w="1636"/>
        <w:gridCol w:w="346"/>
        <w:gridCol w:w="196"/>
        <w:gridCol w:w="691"/>
        <w:gridCol w:w="346"/>
        <w:gridCol w:w="196"/>
        <w:gridCol w:w="691"/>
        <w:gridCol w:w="346"/>
        <w:gridCol w:w="196"/>
        <w:gridCol w:w="721"/>
        <w:gridCol w:w="346"/>
        <w:gridCol w:w="751"/>
      </w:tblGrid>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139,157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142,482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(2.3%)</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104,542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146,938</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(42,396)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(28.9%)</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243,699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289,420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(45,721)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(15.8%)</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3,832</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10.6%</w:t>
            </w:r>
          </w:p>
        </w:tc>
      </w:tr>
    </w:tbl>
    <w:p>
      <w:pPr>
        <w:pStyle w:val="TextBody"/>
        <w:bidi w:val="0"/>
        <w:spacing w:before="0" w:after="240"/>
        <w:ind w:left="0" w:right="0" w:hanging="0"/>
        <w:jc w:val="left"/>
        <w:rPr>
          <w:shd w:fill="FFFF00" w:val="clear"/>
        </w:rPr>
      </w:pPr>
      <w:r>
        <w:rPr>
          <w:shd w:fill="FFFF00" w:val="clear"/>
        </w:rPr>
        <w:t>​</w:t>
      </w:r>
    </w:p>
    <w:tbl>
      <w:tblPr>
        <w:tblW w:w="6462" w:type="dxa"/>
        <w:jc w:val="left"/>
        <w:tblInd w:w="0" w:type="dxa"/>
        <w:tblLayout w:type="fixed"/>
        <w:tblCellMar>
          <w:top w:w="0" w:type="dxa"/>
          <w:left w:w="0" w:type="dxa"/>
          <w:bottom w:w="0" w:type="dxa"/>
          <w:right w:w="0" w:type="dxa"/>
        </w:tblCellMar>
      </w:tblPr>
      <w:tblGrid>
        <w:gridCol w:w="1636"/>
        <w:gridCol w:w="346"/>
        <w:gridCol w:w="196"/>
        <w:gridCol w:w="691"/>
        <w:gridCol w:w="346"/>
        <w:gridCol w:w="196"/>
        <w:gridCol w:w="691"/>
        <w:gridCol w:w="346"/>
        <w:gridCol w:w="196"/>
        <w:gridCol w:w="721"/>
        <w:gridCol w:w="346"/>
        <w:gridCol w:w="751"/>
      </w:tblGrid>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278,750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279,958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(0.4%)</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191,945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276,733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(84,788)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(30.6%)</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470,695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556,691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(85,996)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(15.4%)</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72,288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North America, Agriculture segment sales decreased $3.3 million or 2.3% in the second quarter of fiscal 2026 and decreased $1.2 million or 0.4% in the first half of fiscal 2026, as compared to the same periods of fiscal 2025. The decreases were primarily attributable to lower irrigation equipment sales volumes reflecting continued softness in the agricultural market, partially offset by higher average selling prices. This softness was driven by lower grain prices, uncertainty surrounding trade policy, and the timing of government funding.</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In international markets, Agriculture segment sales decreased $42.4 million or 28.9% in the second quarter of fiscal 2026 and decreased $84.8 million or 30.6% in the first half of fiscal 2026, as compared to the same periods of fiscal 2025. The declines were primarily driven by disruptions related to the ongoing Middle East conflict, as well as slightly lower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volumes in Brazil. These impacts were partially offset by favorable foreign currency impacts of approximately $6.8 million and $11.8 million during the second quarter and first half of fiscal 2026, respectively.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Agriculture business is cyclical and influenced by factors including net farm income, commodity prices, weather volatility, geopolitical events, and farmer sentiment regarding future economic conditions. We closely monitor these variables across our key markets. In the U.S., net farm income estimates published by the U.S. Department of Agriculture are a key indicator of grower purchasing capacity. In Brazil, we monitor grain prices, projected farm input costs, interest rates, and net farm income trends, which collectively influence grower liquidity, credit availability, and purchasing behavior. We remain focused on managing through evolving market conditions and positioning the Agriculture business for long-term growth across both domestic and international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gross profit decreased $17.1 million or 18.3% in the second quarter of fiscal 2026 and decreased $22.6 million or 13.2% in the first half of fiscal 2026, as compared to the same periods of fiscal 2025. The decreases were primarily attributable to lower sales volumes resulting from the ongoing Middle East conflict and continued market softness in North America, partially offset by higher average selling prices in North America.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SG&amp;A decreased $16.1 million or 30.7% in the second quarter of fiscal 2026 and decreased $18.9 million or 20.0% in the first half of fiscal 2026, as compared to the same periods of fiscal 2025. The decreases were primarily driven by lower expected credit losses, which included $3.8 million of recoveries of previously aged accounts receivable in Brazil.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operating income increased $3.8 million or 10.6% in the second quarter of fiscal 2026 and increased $1.1 million or 1.5% in the first half of fiscal 2026, as compared to the same periods of fiscal 2025. The increases were primarily attributable to favorable pricing and lower SG&amp;A expenses, partially offset by lower sales volumes. Results for the second quarter of fiscal 2025 were also impacted by impairment and other non-recurring charges of $5.9 million related to the agriculture solar business and realignment charges of $2.9 million.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Corporate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SG&amp;A expenses increased by 0.1% in the second quarter of fiscal 2026 and decreased by $4.2 million or 7.9% in the first half of fiscal 2026, as compared to the same periods of fiscal 2025. The second-quarter increase was primarily due to higher professional service fees, partially offset by lower compensation and incentive costs resulting from lower headcount. The first-half decrease was primarily due to lower compensation costs, partially offset by higher professional service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FINANCIAL RESULTS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and Divestitures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strategically enhance our portfolio through targeted acquisitions and divestitures, demonstrating our commitment to refining our business focus and driving value within our core segments. In the first quarter of fiscal 2026, we acquired the remaining 80% ownership interest in RMDS Innovation, Inc., a Quebec-based technology company, included in the Agriculture Segment.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Macroeconomic and Geopolitical Impacts on Financial Results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actively monitor a range of macroeconomic and geopolitical uncertainties that have affected, and may continue to affect, our business operations and financial performance. These include volatility in the global economic and trade environment, inflationary cost pressures, supply chain disruptions, foreign currency fluctuations relative to the U.S. dollar, changing interest rates, ongoing international conflicts, and labor shortages. These factors may influence our operational costs, revenue streams, and overall financial stability. As conditions evolve, we are proactively adjusting our business strategies to mitigate potential risks, maintain financial resilience, and ensure sufficient liquidity to support ongoing operations and strategic initiatives.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Middle East continued to experience military conflict and related geopolitical instability during the second quarter of fiscal 2026. We have agriculture operations headquartered in Dubai, United Arab Emirates, with business activities throughout the region. The conflict and broader regional instability have affected, and could continue to adversely affect, our regional operations through disruptions to logistics networks and transportation infrastructure, increased energy costs,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volatility in regional currency and financial markets. Certain customers and suppliers in the region have been, and could continue to be, negatively affected by these developments. We continue to actively monitor the situation and are taking actions, as appropriate, to mitigate potential impacts on our operations, financial results,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 ad valorem rate applicable to products in which at least 95% of steel content was melted and poured in the U.S. Products that do not meet these requirements are subject to higher tariff rates, including up to 50% on full value. On June 1, 2026, a subsequent proclamation further adjusted the tariff framework by lowering the U.S.-content threshold for preferential rate eligibility from 95% to 85%. During fiscal 2025, we imported approximately $220.0 million of fabricated steel structures from Mexico into the U.S., which represents the primary category of products affected by these modifications. Based on our current assessment, we believe that the majority of our steel poles produced at our Mexico facility will qualify for the 10% tariff rate, as those structures are produced using U.S. melted and poured steel. Management has interpreted the requirements of the proclamation based on its current understanding and available guidance. Regulatory interpretations may evolve, and authorities could reach conclusions that differ from management’s interpretation. If such differing interpretations were to occur, the Company may be required to modify its practices, which could result in increased costs or changes to reported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Capital Allocation Philosophy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capital allocation priorities are intended to present a balanced approach to maintaining disciplined investments in organic and inorganic growth opportunities while delivering meaningful capital returns to shareholders over the next three to five years. These priorities are expected to be supported by our projected cash flow generation. We plan to allocate approximately 50% of operating cash flow to high-return growth opportunities, focused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strategic capacity expansion, primarily in the Infrastructure segment, to maintain and increase manufacturing output and efficiency while driving innovation to better serve customers,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that strategically augment our competitive position, with a focus on sustainable growth and premium returns on invested capital.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plan to allocate the remaining approximately 50% of operating cash flow to shareholder returns through the form of share repurchases and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June 27, 2026, we had approximately $450.6 million of remaining capacity under the share repurchase program. Since the program’s inception in May 2014, we have repurchased approximately 9.1 million shares for a total of $1.6 billion.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remain committed to maintaining a capital structure that supports our investment-grade credit rating. As of the latest assessments, our credit ratings were Baa2 (stable outlook) by Moody’s Ratings and BBB+ (stable outlook) by S&amp;P Global Ratings. To support these ratings, we aim to manage our debt-to-invested capital ratio within levels that reinforce our investment-grade status.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 supplier finance program with a financial institution, allowing qualifying suppliers the option to sell their receivables from us to the financial institution under independently negotiated terms. Participation in the program is entirely voluntary for suppliers and does not affect our payment terms, amounts, timing, or liquidity. We have no economic interest in a supplier’s decision to participate. As of June 27, 2026 and December 27, 2025, our accounts payable in the Condensed Consolidated Balance Sheets included $38.8 million and $56.3 million, respectively, related to the obligations under this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Sources of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our available debt financing primarily included senior unsecured notes and a revolving credit facility.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Senior Unsecured Notes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27, 2026, our senior unsecured notes consisted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million face value ($434.8 million carrying value) notes at an interest rate of 5.00% per annum, maturing in October 2044.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 million face value ($295.7 million carrying value) notes at an interest rate of 5.25% per annum, maturing in October 2054.</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retain the option to repurchase these notes by paying a make-whole premium. Both tranches are guaranteed by certain subsidiaries.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Revolving Credit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managed by JPMorgan Chase Bank, N.A., as Administrative Agent, has a maturity date of July 10, 2030. The facility provides up to $800.0 million in unsecured revolving credit, with $400.0 million available for borrowings in foreign currencies. An additional $400.0 million may be added to the facility, subject to lender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Authorized borrowers include the Company and its wholly owned subsidiaries, Valmont Industries Holland B.V. and Valmont Group Pty. Ltd. Obligations under this facility are guaranteed by the Company and its wholly owned subsidiaries, Valmont Telecommunications, Inc., Valmont Coatings, Inc., Valmont Newmark, Inc., and Valmont Queensland Pty. Ltd.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interest rate on our borrowings will be, at our option, either:</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Secured Overnight Financing Rate (“SOFR”), based on a one-, three-, or six-month period, and a spread of 100 to 162.5 basis points, depending on our senior unsecured long-term debt credit rating by S&amp;P Global Ratings and Moody’s Ratings;</w:t>
            </w:r>
          </w:p>
        </w:tc>
      </w:tr>
    </w:tbl>
    <w:tbl>
      <w:tblPr>
        <w:tblW w:w="1641" w:type="dxa"/>
        <w:jc w:val="left"/>
        <w:tblInd w:w="0" w:type="dxa"/>
        <w:tblLayout w:type="fixed"/>
        <w:tblCellMar>
          <w:top w:w="28" w:type="dxa"/>
          <w:left w:w="28" w:type="dxa"/>
          <w:bottom w:w="28" w:type="dxa"/>
          <w:right w:w="28" w:type="dxa"/>
        </w:tblCellMar>
      </w:tblPr>
      <w:tblGrid>
        <w:gridCol w:w="124"/>
        <w:gridCol w:w="331"/>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of</w:t>
            </w:r>
          </w:p>
        </w:tc>
      </w:tr>
    </w:tbl>
    <w:tbl>
      <w:tblPr>
        <w:tblW w:w="2361" w:type="dxa"/>
        <w:jc w:val="left"/>
        <w:tblInd w:w="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prime lending rate,</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overnight bank rate plus 50 basis points,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(based on a one-month period) plus 100 basis points,</w:t>
            </w:r>
          </w:p>
        </w:tc>
      </w:tr>
    </w:tbl>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plus, in each case, 0 to 62.5 basis points, depending on our credit rating; or</w:t>
      </w:r>
    </w:p>
    <w:tbl>
      <w:tblPr>
        <w:tblW w:w="8076" w:type="dxa"/>
        <w:jc w:val="left"/>
        <w:tblInd w:w="0" w:type="dxa"/>
        <w:tblLayout w:type="fixed"/>
        <w:tblCellMar>
          <w:top w:w="28" w:type="dxa"/>
          <w:left w:w="28" w:type="dxa"/>
          <w:bottom w:w="28" w:type="dxa"/>
          <w:right w:w="28" w:type="dxa"/>
        </w:tblCellMar>
      </w:tblPr>
      <w:tblGrid>
        <w:gridCol w:w="124"/>
        <w:gridCol w:w="31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 SOFR and a spread of 100 to 162.5 basis points, depending on our credit rating.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 commitment fee is applied to the average daily unused portion of the facility, ranging from 9 to 20 basis points, based on our credit rating.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we had no outstanding borrowings under this facility. As of December 27, 2025, we had outstanding borrowings of $65.0 million under this facility. The facility includes a financial covenant that may limit additional borrowing. As of June 27, 2026, we could borrow $799.8 million under the facility, after accounting for $0.2 million in standby letters of credit related to certain insurance obligations. Additionally, we maintain short</w:t>
        <w:noBreakHyphen/>
        <w:t>term bank lines of credit totaling $5.7 million, all of which were unused as of June 27, 2026.</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Covenants and 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Both our senior unsecured notes and revolving credit facility contain cross-default provisions, which allow for the acceleration of debt if we default on other indebtedness that also permits acceleration.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facility requires us to maintain a financial leverage ratio of 3.50 or lower, measured as of the last day of each fiscal quarter. A temporary increase to 3.75 is permitted for the four fiscal quarters following a material acquisition. The leverage ratio is defined as the ratio of: (a) interest-bearing debt, minus unrestricted cash in excess of $50.0 million (but not exceeding $500.0 million), to (b) earnings before interest, taxes, depreciation, and amortization, adjusted for non-cash stock-based compensation and non-recurring non-cash charges or gains, subject to certain limitations (“Adjusted EBITDA”). Additionally, in the event of an acquisition or divestiture, Adjusted EBITDA is calculated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covenants restrict activities such as incurring indebtedness, placing liens, engaging in mergers, making investments, selling assets, paying dividends, conducting affiliate transactions, and making debt prepayments. Customary events of default may trigger the acceleration of obligations, subject to grace periods where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we were in compliance with all covenants related to these debt agreements. For detailed calculations of Adjusted EBITDA and the leverage ratio, please refer to the “Selected Financial Measures” section.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cash needs include working capital, capital expenditures, debt service, taxes, and pension contributions. We may also pursue strategic investments, acquisitions, stock repurchases, or dividends, subject to market conditions and debt agreement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operates in cyclical markets, but our diverse portfolio—spanning various products, customers, and regions—has enabled us to navigate these cycles effectively while maintaining liquidity. Historically, we have consistently generated operating cash flows that exceed our capital expenditures, demonstrating our ability to manage cash effectively through economic cycles. For fiscal 2026 and beyond, we are confident in our liquidity position, supported by accessible credit facilities, capital markets, and a solid track record of positive operating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27, 2026, we held $139.1 million in cash, including $110.9 million in non-U.S. subsidiaries. Distributions of this foreign cash would incur tax liabilities. As of June 27, 2026, we had liabilities of $1.6 million for foreign withholding taxes and $0.2 million for U.S. state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fiscal 2026 capital expenditures to range from $170.0 million to $200.0 million.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summarizes our cash flow information for the twenty-six weeks ended June 27, 2026 and June 28, 2025:</w:t>
      </w:r>
    </w:p>
    <w:tbl>
      <w:tblPr>
        <w:tblW w:w="5692" w:type="dxa"/>
        <w:jc w:val="left"/>
        <w:tblInd w:w="0" w:type="dxa"/>
        <w:tblLayout w:type="fixed"/>
        <w:tblCellMar>
          <w:top w:w="0" w:type="dxa"/>
          <w:left w:w="0" w:type="dxa"/>
          <w:bottom w:w="0" w:type="dxa"/>
          <w:right w:w="0" w:type="dxa"/>
        </w:tblCellMar>
      </w:tblPr>
      <w:tblGrid>
        <w:gridCol w:w="2941"/>
        <w:gridCol w:w="346"/>
        <w:gridCol w:w="196"/>
        <w:gridCol w:w="811"/>
        <w:gridCol w:w="346"/>
        <w:gridCol w:w="196"/>
        <w:gridCol w:w="856"/>
      </w:tblGrid>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232,739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(76,556)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(64,319)</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(223,716)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(131,223)</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Cash Flows and Working Capital </w:t>
      </w:r>
      <w:r>
        <w:rPr>
          <w:rFonts w:ascii="Times New Roman;Times;serif" w:hAnsi="Times New Roman;Times;serif"/>
          <w:sz w:val="20"/>
        </w:rPr>
        <w:t>– Cash provided by operating activities totaled $251.6 million in the first half of fiscal 2026, as compared to $232.7 million in the same period of fiscal 2025. The change in operating cash flows reflects higher net earnings and lower cash income tax payments, partially offset by unfavorable changes in working capital, including increases in receivables, inventories, and the $20.3 million settlement payment associated with our litigation matters in Brazil. The lower cash tax payments were a result of the worthless securities deduction that was recorded in the fourth quarter of fiscal 2025 that gave rise to a federal tax receivable that was used to reduce estimated tax payments through the first half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Investing Cash Flows </w:t>
      </w:r>
      <w:r>
        <w:rPr>
          <w:rFonts w:ascii="Times New Roman;Times;serif" w:hAnsi="Times New Roman;Times;serif"/>
          <w:sz w:val="20"/>
        </w:rPr>
        <w:t>– Cash used in investing activities totaled $76.6 million in the first half of fiscal 2026, as compared to $64.3 million in the same period of fiscal 2025. Investing activities in the first half of fiscal 2026 primarily included capital spending of $70.5 million and the acquisition of RMDS Innovation, Inc., net of cash acquired, of $11.5 million. Investing activities in the first half of fiscal 2025 primarily included capital spending of $62.3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Financing Cash Flows </w:t>
      </w:r>
      <w:r>
        <w:rPr>
          <w:rFonts w:ascii="Times New Roman;Times;serif" w:hAnsi="Times New Roman;Times;serif"/>
          <w:sz w:val="20"/>
        </w:rPr>
        <w:t>– Cash used in financing activities totaled $223.7 million in the first half of fiscal 2026, as compared to $131.2 million in the same period of fiscal 2025. Our total interest-bearing debt was $755.2 million as of June 27, 2026 and $829.5 million as of December 27, 2025. Financing activities in the first half of fiscal 2026 primarily consisted of borrowings on the revolving credit facility of $65.2 million offset by payments of $130.6 million, dividends paid of $28.2 million, stock repurchases of $117.5 million, and the purchase of a redeemable noncontrolling interest of $8.9 million. Financing activities in the first half of fiscal 2025 primarily consisted of borrowings on the revolving credit facility and short-term notes of $132.8 million, offset by principal payments on our long-term debt and short-term borrowings of $134.9 million, dividends paid of $25.7 million, and stock repurchases of $100.0 million.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Guarantor Summarized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information is provided in compliance with Rule 3-10 and Rule 13-01 of Regulation S-X, relating to our two tranches of senior unsecured notes. These senior notes are jointly, severally, fully, and unconditionally guaranteed—subject to certain customary release provisions, including the sale of the subsidiary guarantor or of all or substantially all of its assets—by certain of our current and future direct and indirect domestic and foreign subsidiaries (collectively, the “Guarantors”). The Parent serves as the Issuer of the notes and consolidates all Guarantors.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information for the Issuer and Guarantors is presented on a combined basis, with intercompany balances and transactions between the Issuer and the Guarantors eliminated. Any amounts due to or from the Issuer or Guarantors, as well as transactions with non-guarantor subsidiaries, are disclosed separately.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for the thirteen and twenty-six weeks ended June 27, 2026 and June 28, 2025 was as follows:</w:t>
      </w:r>
    </w:p>
    <w:tbl>
      <w:tblPr>
        <w:tblW w:w="8332" w:type="dxa"/>
        <w:jc w:val="left"/>
        <w:tblInd w:w="0" w:type="dxa"/>
        <w:tblLayout w:type="fixed"/>
        <w:tblCellMar>
          <w:top w:w="0" w:type="dxa"/>
          <w:left w:w="0" w:type="dxa"/>
          <w:bottom w:w="0" w:type="dxa"/>
          <w:right w:w="0" w:type="dxa"/>
        </w:tblCellMar>
      </w:tblPr>
      <w:tblGrid>
        <w:gridCol w:w="3796"/>
        <w:gridCol w:w="346"/>
        <w:gridCol w:w="196"/>
        <w:gridCol w:w="691"/>
        <w:gridCol w:w="109"/>
        <w:gridCol w:w="196"/>
        <w:gridCol w:w="691"/>
        <w:gridCol w:w="109"/>
        <w:gridCol w:w="196"/>
        <w:gridCol w:w="826"/>
        <w:gridCol w:w="109"/>
        <w:gridCol w:w="196"/>
        <w:gridCol w:w="871"/>
      </w:tblGrid>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109" w:type="dxa"/>
            <w:tcBorders/>
            <w:vAlign w:val="center"/>
          </w:tcPr>
          <w:p>
            <w:pPr>
              <w:pStyle w:val="TableContents"/>
              <w:bidi w:val="0"/>
              <w:spacing w:before="0" w:after="1"/>
              <w:ind w:left="0" w:right="0" w:hanging="0"/>
              <w:jc w:val="left"/>
              <w:rPr/>
            </w:pPr>
            <w:r>
              <w:rPr/>
              <w:t>​</w:t>
            </w:r>
          </w:p>
        </w:tc>
        <w:tc>
          <w:tcPr>
            <w:tcW w:w="21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109"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825,299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725,881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1,603,795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1,402,572</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247,331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475,739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419,878</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128,643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70,364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253,776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163,359</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87,907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45,600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169,262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105,586</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as of June 27, 2026 and December 27, 2025 was as follows:</w:t>
      </w:r>
    </w:p>
    <w:tbl>
      <w:tblPr>
        <w:tblW w:w="4565" w:type="dxa"/>
        <w:jc w:val="left"/>
        <w:tblInd w:w="0" w:type="dxa"/>
        <w:tblLayout w:type="fixed"/>
        <w:tblCellMar>
          <w:top w:w="0" w:type="dxa"/>
          <w:left w:w="0" w:type="dxa"/>
          <w:bottom w:w="0" w:type="dxa"/>
          <w:right w:w="0" w:type="dxa"/>
        </w:tblCellMar>
      </w:tblPr>
      <w:tblGrid>
        <w:gridCol w:w="1666"/>
        <w:gridCol w:w="346"/>
        <w:gridCol w:w="196"/>
        <w:gridCol w:w="826"/>
        <w:gridCol w:w="346"/>
        <w:gridCol w:w="206"/>
        <w:gridCol w:w="979"/>
      </w:tblGrid>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988,910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901,456</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850,759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851,743</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422,077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415,155</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1,283,245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1,241,800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June 27, 2026 and December 27, 2025, non-current assets included a receivable from non-guarantor subsidiaries of $67,171 and $83,641, respectively. As of June 27, 2026 and December 27, 2025, non-current liabilities included a payable to non-guarantor subsidiaries of $409,258 and $325,225, respectively.</w:t>
      </w:r>
    </w:p>
    <w:p>
      <w:pPr>
        <w:pStyle w:val="TextBody"/>
        <w:bidi w:val="0"/>
        <w:spacing w:before="0" w:after="240"/>
        <w:ind w:left="720" w:right="0" w:hanging="0"/>
        <w:jc w:val="left"/>
        <w:rPr>
          <w:rFonts w:ascii="Times New Roman;Times;serif" w:hAnsi="Times New Roman;Times;serif"/>
          <w:b/>
          <w:i/>
          <w:sz w:val="20"/>
        </w:rPr>
      </w:pPr>
      <w:bookmarkStart w:id="1801" w:name="_Selected_Financial_Measures"/>
      <w:bookmarkEnd w:id="1801"/>
      <w:r>
        <w:rPr>
          <w:rFonts w:ascii="Times New Roman;Times;serif" w:hAnsi="Times New Roman;Times;serif"/>
          <w:b/>
          <w:i/>
          <w:sz w:val="20"/>
        </w:rPr>
        <w:t>Selected Financial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leverage ratio is a key financial metric we use to assess our maximum borrowing capacity. It is defined as the ratio of (a) interest-bearing debt, minus unrestricted cash in excess of $50.0 million (but not exceeding $500.0 million), to (b) Adjusted EBITDA. In the event of an acquisition or divestiture, Adjusted EBITDA is calculated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requires us to maintain a leverage ratio of 3.50 or lower (or 3.75 or lower following certain material acquisitions) on a rolling four-fiscal-quarter basis, measured as of the last day of each fiscal quarter. Failure to comply with this financial covenant may result in higher financing costs or early debt repayment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leverage ratio and Adjusted EBITDA are non-generally accepted accounting principles (“GAAP”) measures. As presented, these measures may not be directly comparable to similarly titled measures used by other companies. They should not be considered in isolation or as a substitute for net earnings, cash flows from operations, or other income or cash flow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data prepared in accordance with GAAP. Additionally, they should not be interpreted as indicators of operating performance or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Adjusted EBITDA for the four fiscal quarters ended June 27, 2026 was as follows:</w:t>
      </w:r>
    </w:p>
    <w:tbl>
      <w:tblPr>
        <w:tblW w:w="5762" w:type="dxa"/>
        <w:jc w:val="left"/>
        <w:tblInd w:w="0" w:type="dxa"/>
        <w:tblLayout w:type="fixed"/>
        <w:tblCellMar>
          <w:top w:w="0" w:type="dxa"/>
          <w:left w:w="0" w:type="dxa"/>
          <w:bottom w:w="0" w:type="dxa"/>
          <w:right w:w="0" w:type="dxa"/>
        </w:tblCellMar>
      </w:tblPr>
      <w:tblGrid>
        <w:gridCol w:w="3241"/>
        <w:gridCol w:w="346"/>
        <w:gridCol w:w="429"/>
        <w:gridCol w:w="1746"/>
      </w:tblGrid>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475,328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49,889</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(4,631)</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(3,579)</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2,553</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149,847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34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4,709</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1"/>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717,828</w:t>
            </w:r>
          </w:p>
        </w:tc>
      </w:tr>
    </w:tbl>
    <w:p>
      <w:pPr>
        <w:pStyle w:val="TextBody"/>
        <w:bidi w:val="0"/>
        <w:spacing w:before="0" w:after="240"/>
        <w:ind w:left="0" w:right="0" w:hanging="0"/>
        <w:jc w:val="left"/>
        <w:rPr>
          <w:shd w:fill="FFFF00" w:val="clear"/>
        </w:rPr>
      </w:pPr>
      <w:r>
        <w:rPr>
          <w:shd w:fill="FFFF00" w:val="clear"/>
        </w:rPr>
        <w:t>​</w:t>
      </w:r>
    </w:p>
    <w:tbl>
      <w:tblPr>
        <w:tblW w:w="6080" w:type="dxa"/>
        <w:jc w:val="left"/>
        <w:tblInd w:w="0" w:type="dxa"/>
        <w:tblLayout w:type="fixed"/>
        <w:tblCellMar>
          <w:top w:w="0" w:type="dxa"/>
          <w:left w:w="0" w:type="dxa"/>
          <w:bottom w:w="0" w:type="dxa"/>
          <w:right w:w="0" w:type="dxa"/>
        </w:tblCellMar>
      </w:tblPr>
      <w:tblGrid>
        <w:gridCol w:w="3796"/>
        <w:gridCol w:w="109"/>
        <w:gridCol w:w="429"/>
        <w:gridCol w:w="1746"/>
      </w:tblGrid>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494,983</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38,725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49,889</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 </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91,560</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 </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22,350</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7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7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vAlign w:val="center"/>
          </w:tcPr>
          <w:p>
            <w:pPr>
              <w:pStyle w:val="TableContents"/>
              <w:bidi w:val="0"/>
              <w:spacing w:before="0" w:after="1"/>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4,709</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717,828</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calculation of the leverage ratio as of June 27, 2026 was as follows:</w:t>
      </w:r>
    </w:p>
    <w:tbl>
      <w:tblPr>
        <w:tblW w:w="6619" w:type="dxa"/>
        <w:jc w:val="left"/>
        <w:tblInd w:w="0" w:type="dxa"/>
        <w:tblLayout w:type="fixed"/>
        <w:tblCellMar>
          <w:top w:w="0" w:type="dxa"/>
          <w:left w:w="0" w:type="dxa"/>
          <w:bottom w:w="0" w:type="dxa"/>
          <w:right w:w="0" w:type="dxa"/>
        </w:tblCellMar>
      </w:tblPr>
      <w:tblGrid>
        <w:gridCol w:w="5341"/>
        <w:gridCol w:w="346"/>
        <w:gridCol w:w="196"/>
        <w:gridCol w:w="736"/>
      </w:tblGrid>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3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27,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debt, excluding origination fees and discounts of $24,522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755,207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Cash and cash equivalents in excess of $50,000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89,051</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indebtedness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666,156</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717,828</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Leverage ratio</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0.93</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FINANCIAL OBLIGATIONS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financial obligations and commitments during the twenty-six weeks ended June 27, 2026. For additional information on the Company’s financial obligations and commitments, refer to the “Cash Uses” section in Part II, Item 7 of the Company’s Annual Report on Form 10-K for the fiscal year ended December 27,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described below involve significant judgments and estimates that are used in preparing our Consolidated Financial Statements. Management exercises substantial judgment in determining these estimates, which are essential to our financial reporting. The key areas that involve such estimates include impairments of goodwill and other intangible assets, income taxes, revenue recognition for our Infrastructure product lines recognized over time, and inventory obsolescence. These estimates are based on our past experiences and other assumptions that we believe to be reasonable given the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continually re-evaluate these estimates as circumstances evolve, understanding that actual results may differ due to changes in assumptions or conditions. To ensure accuracy and transparency in our financial reporting, the selection and application of our critical accounting policies are reviewed annually by our 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below, there were no material changes in the Company’s critical accounting estimates during the twenty-six weeks ended June 27, 2026. For additional information on the Company’s critical accounting estimates, refer to the “Critical Accounting Estimates” section in Part II, Item 7 of the Company’s Annual Report on Form 10-K for the fiscal year ended December 27, 2025.</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Impairment of Goodwill and 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fiscal 2025, there were no changes to the composition of our reporting units. However, the number of reporting units with recorded goodwill decreased from twelve to eleven during fiscal 2025 as a result of the full impairment of goodwill associated with our Solar reporting unit in the second quarter.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periodically reassess our reporting unit structure based on changes in how the business is managed, including changes in organizational structure, leadership, and the manner in which financial information is reviewed by segment management. Determining reporting units requires judgment, including evaluating the level at which discrete financial information is available and regularly reviewed by segment management, how components of the business are organized and managed, and whether components of the business share similar economic characteristics.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same considerations directly inform how acquired assets, liabilities, and goodwill are assigned or reallocated to reporting units. Specifically, items are assigned based on how the underlying operations are organized and how financial results are reviewed by segment management, including whether assets and liabilities are specifically identifiable to a reporting unit or are shared across reporting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first quarter of fiscal 2024, we reorganized certain operations within our Agriculture reportable segment. Specifically, the former Agriculture Technology reporting unit was integrated into the North America Irrigation and International Irrigation reporting units. This reorganization was driven by changes in senior leadership and a strategic determination that technology offerings are integral to the underlying irrigation equipment business rather than a separate independent line of business, which also resulted in a change to the manner in which discrete financial information is reviewed by segment management. Accordingly, management concluded that the Agriculture Technology operations no longer constituted a separate reporting unit.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this reorganization, we performed goodwill impairment assessments immediately before and after the reorganization and concluded that no impairment existed. This assessment reflected improved cash flow forecasts relative to the prior annual impairment test, primarily due to restructuring actions undertaken in the fourth quarter of fiscal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assets and liabilities (excluding goodwill) of the former Agriculture Technology reporting unit were reassigned to the North America Irrigation and International Irrigation reporting units in a manner consistent with how the underlying operations and financial information are managed and reviewed by segment management following the reorganization. Assets and liabilities that were specifically identifiable to a reporting unit were directly assigned. For assets and liabilities that were not specifically identifiable, amounts were reallocated based on the reorganization of the business and the revised internal reporting structure used by segment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of approximately $168.0 million, which includes the goodwill associated with our former Prospera business, was then allocated to these reporting units using a relative fair value approach in accordance with ASC 350-20-35-45. This approach was used because goodwill does not represent separately identifiable assets and must be reallocated based on the relative fair values of the reporting units expected to benefit from the reorganization. The estimated fair values were derived from projected revenues and cash flows of the respective reporting units. Accordingly, goodwill associated with the former Prospera business is included within these reporting units.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fiscal 2025, management elected to abandon the use of Prospera’s proprietary technology and initiated actions to exit the business. Management performed a qualitative assessment and concluded that no triggering event existed, as the decision did not materially affect the expected future cash flows of the reporting units and no indicators were present that it was more likely than not that the fair value of any reporting unit was below its carrying amount prior to the annual impairment test. Accordingly, no after-tax cash flows associated with Prospera were included in the projected cash flows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used in our fiscal 2025 annual goodwill impairment test, reflecting management’s expectation at the time of the annual test that Prospera would not contribute to the future operating performance of the reporting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we completed a legal entity reorganization that resulted in a deemed liquidation of the Prospera business. Because the fiscal 2025 annual goodwill impairment test had already excluded Prospera-related cash flows, management concluded that the subsequent decision by the Board of Directors to formally exit the business and abandon its technology did not represent a change in the assumptions used in the annual impairment test. Accordingly, this event did not constitute a triggering event requiring an interim goodwill impairment assessment under ASC 350-20-35-30.</w:t>
      </w:r>
    </w:p>
    <w:p>
      <w:pPr>
        <w:pStyle w:val="TextBody"/>
        <w:bidi w:val="0"/>
        <w:spacing w:before="0" w:after="240"/>
        <w:ind w:left="0" w:right="0" w:hanging="0"/>
        <w:jc w:val="left"/>
        <w:rPr>
          <w:rFonts w:ascii="Times New Roman;Times;serif" w:hAnsi="Times New Roman;Times;serif"/>
          <w:b/>
          <w:sz w:val="20"/>
        </w:rPr>
      </w:pPr>
      <w:bookmarkStart w:id="1802" w:name="ITEM3QUANTITATIVEANDQUALITATIVEDISCLOSUR"/>
      <w:bookmarkStart w:id="1803" w:name="_e9cb2a96_feb3_43cc_98ef_f4b28fea3c45"/>
      <w:bookmarkStart w:id="1804" w:name="_Item_3._"/>
      <w:bookmarkEnd w:id="1802"/>
      <w:bookmarkEnd w:id="1803"/>
      <w:bookmarkEnd w:id="1804"/>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market risk during the twenty-six weeks ended June 27, 2026. For additional information on the Company’s market risk, refer to Part II, Item 7A of the Company’s Annual Report on Form 10-K for the fiscal year ended December 27, 2025.</w:t>
      </w:r>
    </w:p>
    <w:p>
      <w:pPr>
        <w:pStyle w:val="TextBody"/>
        <w:bidi w:val="0"/>
        <w:spacing w:before="0" w:after="240"/>
        <w:ind w:left="0" w:right="0" w:hanging="0"/>
        <w:jc w:val="left"/>
        <w:rPr>
          <w:rFonts w:ascii="Times New Roman;Times;serif" w:hAnsi="Times New Roman;Times;serif"/>
          <w:b/>
          <w:sz w:val="20"/>
        </w:rPr>
      </w:pPr>
      <w:bookmarkStart w:id="1805" w:name="ITEM4CONTROLSANDPROCEDURES"/>
      <w:bookmarkStart w:id="1806" w:name="_bf1c7357_3464_4446_af74_ec12c71d648a"/>
      <w:bookmarkStart w:id="1807" w:name="_Item_4._"/>
      <w:bookmarkEnd w:id="1805"/>
      <w:bookmarkEnd w:id="1806"/>
      <w:bookmarkEnd w:id="1807"/>
      <w:r>
        <w:rPr>
          <w:rFonts w:ascii="Times New Roman;Times;serif" w:hAnsi="Times New Roman;Times;serif"/>
          <w:b/>
          <w:sz w:val="20"/>
        </w:rPr>
        <w:t>ITEM 4. CONTROLS AND PROCEDURES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under the supervision and with the participation of management—including the Chief Executive Officer (“CEO”) and Chief Financial Officer (“CFO”)—conducted an evaluation of the effectiveness of the design and operation of its disclosure controls and procedures, as defined in Rule 13a-15(e) under the Securities Exchange Act of 1934, as amended.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this evaluation, the CEO and CFO concluded that, as of the end of the period covered by this report, the Company’s disclosure controls and procedures are effective in providing reasonable assurance that the information required to be disclosed by the Company in its reports under the Securities Exchange Act of 1934 is (1) accumulated and communicated to management, including the CEO and CFO, to enable timely decisions regarding required disclosures and (2) recorded, processed, summarized, and reported within the periods specified by the Commission’s rules and forms.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during the fiscal quarter covered by this report that have materially affected, or are reasonably likely to affect materially, the Company’s internal control over financial reporting.</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8" w:name="PARTIIOTHERINFORMATION"/>
      <w:bookmarkStart w:id="1809" w:name="_1be36d54_7e43_4e87_b09d_d740963f4f35"/>
      <w:bookmarkEnd w:id="1808"/>
      <w:bookmarkEnd w:id="180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810" w:name="ITEM1LEGALPROCEEDINGS"/>
      <w:bookmarkEnd w:id="1810"/>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additional information on the Company’s legal proceedings, refer to Part I, Item 3 of the Company’s Annual Report on Form 10-K for the fiscal year ended December 27, 2025, and Note 14 to the Condensed Consolidated Financial Statements contained in this Quarterly Report on Form 10-Q.</w:t>
      </w:r>
    </w:p>
    <w:p>
      <w:pPr>
        <w:pStyle w:val="TextBody"/>
        <w:bidi w:val="0"/>
        <w:spacing w:before="0" w:after="240"/>
        <w:ind w:left="0" w:right="0" w:hanging="0"/>
        <w:jc w:val="left"/>
        <w:rPr>
          <w:rFonts w:ascii="Times New Roman;Times;serif" w:hAnsi="Times New Roman;Times;serif"/>
          <w:b/>
          <w:sz w:val="20"/>
        </w:rPr>
      </w:pPr>
      <w:bookmarkStart w:id="1811" w:name="ITEM1ARISKFACTORS"/>
      <w:bookmarkStart w:id="1812" w:name="_06b0691d_0786_4e2f_8efc_9e97973be1d1"/>
      <w:bookmarkEnd w:id="1811"/>
      <w:bookmarkEnd w:id="1812"/>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in the Company’s risk factors during the twenty-six weeks ended June 27, 2026. For additional information on the Company’s risk factors, refer to Part I, Item 1A of the Company’s Annual Report on Form 10</w:t>
        <w:noBreakHyphen/>
        <w:t>K for the fiscal year ended December 27, 2025.</w:t>
      </w:r>
    </w:p>
    <w:p>
      <w:pPr>
        <w:pStyle w:val="TextBody"/>
        <w:bidi w:val="0"/>
        <w:spacing w:before="0" w:after="240"/>
        <w:ind w:left="0" w:right="0" w:hanging="0"/>
        <w:jc w:val="left"/>
        <w:rPr>
          <w:rFonts w:ascii="Times New Roman;Times;serif" w:hAnsi="Times New Roman;Times;serif"/>
          <w:b/>
          <w:sz w:val="20"/>
        </w:rPr>
      </w:pPr>
      <w:bookmarkStart w:id="1813" w:name="ITEM2UNREGISTEREDSALESOFEQUITYSECURITIES"/>
      <w:bookmarkStart w:id="1814" w:name="_21eb8f9e_f399_4994_9d34_0a1e07165f23"/>
      <w:bookmarkStart w:id="1815" w:name="_Item_2._Unregistered"/>
      <w:bookmarkEnd w:id="1813"/>
      <w:bookmarkEnd w:id="1814"/>
      <w:bookmarkEnd w:id="1815"/>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tbl>
      <w:tblPr>
        <w:tblW w:w="9292" w:type="dxa"/>
        <w:jc w:val="left"/>
        <w:tblInd w:w="0" w:type="dxa"/>
        <w:tblLayout w:type="fixed"/>
        <w:tblCellMar>
          <w:top w:w="0" w:type="dxa"/>
          <w:left w:w="0" w:type="dxa"/>
          <w:bottom w:w="0" w:type="dxa"/>
          <w:right w:w="0" w:type="dxa"/>
        </w:tblCellMar>
      </w:tblPr>
      <w:tblGrid>
        <w:gridCol w:w="2536"/>
        <w:gridCol w:w="346"/>
        <w:gridCol w:w="1171"/>
        <w:gridCol w:w="346"/>
        <w:gridCol w:w="214"/>
        <w:gridCol w:w="656"/>
        <w:gridCol w:w="346"/>
        <w:gridCol w:w="1501"/>
        <w:gridCol w:w="346"/>
        <w:gridCol w:w="273"/>
        <w:gridCol w:w="1557"/>
      </w:tblGrid>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Approximate dollar</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 purchased</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 of shares that</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part of publicly</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may yet be purchased</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paid</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announced plans</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under the plans</w:t>
            </w:r>
          </w:p>
        </w:tc>
      </w:tr>
      <w:tr>
        <w:trPr/>
        <w:tc>
          <w:tcPr>
            <w:tcW w:w="25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 share</w:t>
            </w:r>
          </w:p>
        </w:tc>
        <w:tc>
          <w:tcPr>
            <w:tcW w:w="346"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w:t>
            </w:r>
          </w:p>
        </w:tc>
        <w:tc>
          <w:tcPr>
            <w:tcW w:w="346" w:type="dxa"/>
            <w:tcBorders/>
            <w:vAlign w:val="center"/>
          </w:tcPr>
          <w:p>
            <w:pPr>
              <w:pStyle w:val="TableContents"/>
              <w:bidi w:val="0"/>
              <w:spacing w:before="0" w:after="1"/>
              <w:ind w:left="0" w:right="0" w:hanging="0"/>
              <w:jc w:val="left"/>
              <w:rPr/>
            </w:pPr>
            <w:r>
              <w:rPr/>
              <w:t>  ​ ​ ​</w:t>
            </w:r>
          </w:p>
        </w:tc>
        <w:tc>
          <w:tcPr>
            <w:tcW w:w="18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 (1)</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29, 2026 to April 25, 2026</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510,551,000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26, 2026 to May 30, 2026</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118,719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505.30</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118,719</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450,560,000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31, 2026 to June 27, 2026</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450,560,000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118,719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505.30</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118,719</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450,560,000</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June 27, 2026, we had approximately $450.6 million of remaining capacity under the share repurchase program. Since the program’s inception in May 2014, we have repurchased approximately 9.1 million shares for a total of $1.6 billion.</w:t>
            </w:r>
          </w:p>
        </w:tc>
      </w:tr>
    </w:tbl>
    <w:p>
      <w:pPr>
        <w:pStyle w:val="TextBody"/>
        <w:bidi w:val="0"/>
        <w:spacing w:before="0" w:after="240"/>
        <w:ind w:left="0" w:right="0" w:hanging="0"/>
        <w:jc w:val="left"/>
        <w:rPr>
          <w:rFonts w:ascii="Times New Roman;Times;serif" w:hAnsi="Times New Roman;Times;serif"/>
          <w:b/>
          <w:sz w:val="20"/>
        </w:rPr>
      </w:pPr>
      <w:bookmarkStart w:id="1816" w:name="ITEM3DEFAULTSUPONSENIORSECURITIES"/>
      <w:bookmarkStart w:id="1817" w:name="_9cf8bf32_68c9_4fb5_839c_37ccc2949329"/>
      <w:bookmarkEnd w:id="1816"/>
      <w:bookmarkEnd w:id="1817"/>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818" w:name="ITEM4MINESAFETYDISCLOSURES"/>
      <w:bookmarkStart w:id="1819" w:name="_afc1ca04_2a5a_4b9f_a980_e998109455cd"/>
      <w:bookmarkEnd w:id="1818"/>
      <w:bookmarkEnd w:id="1819"/>
      <w:r>
        <w:rPr>
          <w:rFonts w:ascii="Times New Roman;Times;serif" w:hAnsi="Times New Roman;Times;serif"/>
          <w:b/>
          <w:sz w:val="20"/>
        </w:rPr>
        <w:t>ITEM 4. MINE SAFETY DISCLOSURES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820" w:name="ITEM5OTHERINFORMATION"/>
      <w:bookmarkStart w:id="1821" w:name="_0298705e_a5d2_48ac_a6cf_fd1988d501a6"/>
      <w:bookmarkEnd w:id="1820"/>
      <w:bookmarkEnd w:id="1821"/>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Adoption of Executive Officer Severance Plan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27, 2026, the Board of Directors, upon the recommendation of the Human Resources Committee (the “Committee”), adopted the Valmont Executive Severance Plan (the “Plan”). The Plan became effective on that date and covers full-time executives designated by the Committee. The Committee currently designates as participants the CEO and the CEO’s direct reports who are executive officers. Upon an involuntary termination without cause (as defined in the Plan), a covered executive is entitled to receive a target annual cash incentive, prorated through the date of termination, to the extent applicable performance criteria are satisfied. In addition, as severance pay, the CEO would receive severance equal to two times base salary and annual target cash incentive, and other covered executives would receive severance equal to one times base salary and annual target cash incentive. Upon an involuntary termination without cause, or a termination for good reason (as defined in the Plan), within two years following a change in control (as defined in the Plan), the CEO would receive severance equal to three times base salary and annual target cash incentive, and other covered executives would receive severance equal to two times base salary and annual target cash incentive. Severance benefits are subject to the covered executive’s execution of a customary release agreement and compliance with confidentiality and other covenants as provided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Plan. The foregoing summary is qualified in its entirety by reference to the Plan, which is filed herewith as Exhibit 10.2.</w:t>
      </w:r>
    </w:p>
    <w:p>
      <w:pPr>
        <w:pStyle w:val="TextBody"/>
        <w:bidi w:val="0"/>
        <w:spacing w:before="0" w:after="240"/>
        <w:ind w:left="0" w:right="0" w:hanging="0"/>
        <w:jc w:val="left"/>
        <w:rPr>
          <w:rFonts w:ascii="Times New Roman;Times;serif" w:hAnsi="Times New Roman;Times;serif"/>
          <w:b/>
          <w:sz w:val="20"/>
        </w:rPr>
      </w:pPr>
      <w:bookmarkStart w:id="1822" w:name="ITEM6EXHIBITS"/>
      <w:bookmarkStart w:id="1823" w:name="_84abea99_aa7e_416f_9b49_1a42b5e29081"/>
      <w:bookmarkStart w:id="1824" w:name="_Item_6._Exhibits"/>
      <w:bookmarkEnd w:id="1822"/>
      <w:bookmarkEnd w:id="1823"/>
      <w:bookmarkEnd w:id="1824"/>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00"/>
        <w:gridCol w:w="346"/>
        <w:gridCol w:w="9059"/>
      </w:tblGrid>
      <w:tr>
        <w:trPr/>
        <w:tc>
          <w:tcPr>
            <w:tcW w:w="8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05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Separation and Release Agreement between Thomas Liguori and Valmont Industries, Inc. dated May 26, 2026. This document was filed as Exhibit 10.1 to the Company’s Current Report on Form 8-K (Commission file number 001-31429) dated May 26, 2026 and is incorporated by reference.</w:t>
              </w:r>
            </w:hyperlink>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627xex10d2.htm">
              <w:r>
                <w:rPr>
                  <w:rStyle w:val="InternetLink"/>
                  <w:rFonts w:ascii="Times New Roman;Times;serif" w:hAnsi="Times New Roman;Times;serif"/>
                  <w:b w:val="false"/>
                  <w:i w:val="false"/>
                  <w:caps w:val="false"/>
                  <w:smallCaps w:val="false"/>
                  <w:sz w:val="20"/>
                </w:rPr>
                <w:t>Valmont Industries, Inc. Executive Officer Severance Plan</w:t>
              </w:r>
            </w:hyperlink>
            <w:r>
              <w:rPr>
                <w:rFonts w:ascii="Times New Roman;Times;serif" w:hAnsi="Times New Roman;Times;serif"/>
                <w:sz w:val="20"/>
              </w:rPr>
              <w:t>.</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List of Issuer and Guarantor Subsidiaries. This document was filed as Exhibit 22.1 to the Company’s Quarterly Report on Form 10-Q (Commission file number 001-31429) for the fiscal quarter ended September 25, 2021 and is incorporated herein by reference.</w:t>
              </w:r>
            </w:hyperlink>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627xex31d1.htm">
              <w:r>
                <w:rPr>
                  <w:rStyle w:val="InternetLink"/>
                  <w:rFonts w:ascii="Times New Roman;Times;serif" w:hAnsi="Times New Roman;Times;serif"/>
                  <w:b w:val="false"/>
                  <w:i w:val="false"/>
                  <w:caps w:val="false"/>
                  <w:smallCaps w:val="false"/>
                  <w:sz w:val="20"/>
                </w:rPr>
                <w:t>Section 302 Certification of the Chief Executive Officer</w:t>
              </w:r>
            </w:hyperlink>
            <w:r>
              <w:rPr>
                <w:rFonts w:ascii="Times New Roman;Times;serif" w:hAnsi="Times New Roman;Times;serif"/>
                <w:sz w:val="20"/>
              </w:rPr>
              <w:t>.</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627xex31d2.htm">
              <w:r>
                <w:rPr>
                  <w:rStyle w:val="InternetLink"/>
                  <w:rFonts w:ascii="Times New Roman;Times;serif" w:hAnsi="Times New Roman;Times;serif"/>
                  <w:b w:val="false"/>
                  <w:i w:val="false"/>
                  <w:caps w:val="false"/>
                  <w:smallCaps w:val="false"/>
                  <w:sz w:val="20"/>
                </w:rPr>
                <w:t>Section 302 Certification of the Chief Financial Officer</w:t>
              </w:r>
            </w:hyperlink>
            <w:r>
              <w:rPr>
                <w:rFonts w:ascii="Times New Roman;Times;serif" w:hAnsi="Times New Roman;Times;serif"/>
                <w:sz w:val="20"/>
              </w:rPr>
              <w:t>.</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pPr>
            <w:hyperlink w:anchor="vmi-20260627xex32d1.htm">
              <w:r>
                <w:rPr>
                  <w:rStyle w:val="InternetLink"/>
                  <w:rFonts w:ascii="Times New Roman;Times;serif" w:hAnsi="Times New Roman;Times;serif"/>
                  <w:b w:val="false"/>
                  <w:i w:val="false"/>
                  <w:caps w:val="false"/>
                  <w:smallCaps w:val="false"/>
                  <w:sz w:val="20"/>
                </w:rPr>
                <w:t>Section 906 Certifications.</w:t>
              </w:r>
            </w:hyperlink>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Valmont’s Quarterly Report on Form 10-Q for the quarter ended June 27, 2026, formatted in Inline XBRL (eXtensible Business Reporting Language): (i) the Condensed Consolidated Statements of Operations, (ii) the Condensed Consolidated Statements of Comprehensive Income, (iii) the Condensed Consolidated Balance Sheets, (iv) the Condensed Consolidated Statements of Cash Flows, (v) the Condensed Consolidated Statements of Shareholders’ Equity and Redeemable Noncontrolling Interests, (vi) Notes to Condensed Consolidated Financial Statements and (vii) document and entity information.</w:t>
            </w:r>
          </w:p>
        </w:tc>
      </w:tr>
      <w:tr>
        <w:trPr/>
        <w:tc>
          <w:tcPr>
            <w:tcW w:w="8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(formatted as Inline XBRL and contained in Exhibit 101)</w:t>
            </w:r>
          </w:p>
        </w:tc>
      </w:tr>
    </w:tbl>
    <w:p>
      <w:pPr>
        <w:pStyle w:val="TextBody"/>
        <w:pBdr/>
        <w:bidi w:val="0"/>
        <w:spacing w:before="240" w:after="24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25" w:name="SIGNATURES"/>
      <w:bookmarkStart w:id="1826" w:name="_84d1772b_8ce7_46d1_a61a_d0e8e4d1df4e"/>
      <w:bookmarkEnd w:id="1825"/>
      <w:bookmarkEnd w:id="1826"/>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and by the undersigned thereunto duly authorized.</w:t>
      </w:r>
    </w:p>
    <w:tbl>
      <w:tblPr>
        <w:tblW w:w="4625" w:type="dxa"/>
        <w:jc w:val="left"/>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VALMONT INDUSTRIES, INC.</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SCHWIETZ</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Dated the 28th day of July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right"/>
        <w:rPr>
          <w:rFonts w:ascii="Microsoft Sans Serif" w:hAnsi="Microsoft Sans Serif"/>
          <w:b/>
          <w:sz w:val="22"/>
        </w:rPr>
      </w:pPr>
      <w:bookmarkStart w:id="1827" w:name="vmi-20260627xex10d2.htm"/>
      <w:bookmarkStart w:id="1828" w:name="ksvmi20260627xex10d2"/>
      <w:bookmarkEnd w:id="1827"/>
      <w:bookmarkEnd w:id="1828"/>
      <w:r>
        <w:rPr>
          <w:rFonts w:ascii="Microsoft Sans Serif" w:hAnsi="Microsoft Sans Serif"/>
          <w:b/>
          <w:sz w:val="22"/>
        </w:rPr>
        <w:t>Exhibit 10.2</w:t>
      </w:r>
      <w:r>
        <w:br w:type="page"/>
      </w:r>
    </w:p>
    <w:p>
      <w:pPr>
        <w:pStyle w:val="TextBody"/>
        <w:bidi w:val="0"/>
        <w:spacing w:before="0" w:after="240"/>
        <w:ind w:left="0" w:right="0" w:hanging="0"/>
        <w:jc w:val="right"/>
        <w:rPr>
          <w:rFonts w:ascii="Microsoft Sans Serif" w:hAnsi="Microsoft Sans Serif"/>
          <w:sz w:val="22"/>
        </w:rPr>
      </w:pPr>
      <w:r>
        <w:rPr>
          <w:rFonts w:ascii="Microsoft Sans Serif" w:hAnsi="Microsoft Sans Serif"/>
          <w:sz w:val="22"/>
        </w:rPr>
        <w:t>July 2026</w:t>
      </w:r>
    </w:p>
    <w:p>
      <w:pPr>
        <w:pStyle w:val="TextBody"/>
        <w:bidi w:val="0"/>
        <w:spacing w:before="0" w:after="360"/>
        <w:ind w:left="0" w:right="0" w:hanging="0"/>
        <w:jc w:val="center"/>
        <w:rPr>
          <w:rFonts w:ascii="Microsoft Sans Serif" w:hAnsi="Microsoft Sans Serif"/>
          <w:b/>
          <w:sz w:val="22"/>
        </w:rPr>
      </w:pPr>
      <w:r>
        <w:rPr>
          <w:rFonts w:ascii="Microsoft Sans Serif" w:hAnsi="Microsoft Sans Serif"/>
          <w:b/>
          <w:sz w:val="22"/>
        </w:rPr>
        <w:t>Valmont Industries, Inc. Executive Officer Severance Plan</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1.OVERVIEW</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a.</w:t>
      </w:r>
      <w:r>
        <w:rPr>
          <w:rFonts w:ascii="Microsoft Sans Serif" w:hAnsi="Microsoft Sans Serif"/>
          <w:b/>
          <w:sz w:val="22"/>
        </w:rPr>
        <w:t>Severance Benefits</w:t>
      </w:r>
      <w:r>
        <w:rPr>
          <w:rFonts w:ascii="Microsoft Sans Serif" w:hAnsi="Microsoft Sans Serif"/>
          <w:sz w:val="22"/>
        </w:rPr>
        <w:t>. An Eligible Employee who incurs an Eligible Termination is entitled to severance pay and benefits, in an amount and form, and at such times, and subject to the terms, described in this document.</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b.</w:t>
      </w:r>
      <w:r>
        <w:rPr>
          <w:rFonts w:ascii="Microsoft Sans Serif" w:hAnsi="Microsoft Sans Serif"/>
          <w:b/>
          <w:sz w:val="22"/>
        </w:rPr>
        <w:t>Effective Date</w:t>
      </w:r>
      <w:r>
        <w:rPr>
          <w:rFonts w:ascii="Microsoft Sans Serif" w:hAnsi="Microsoft Sans Serif"/>
          <w:sz w:val="22"/>
        </w:rPr>
        <w:t>.  This Valmont Executive Officer Severance Plan (the “Plan”) is effective as of July 27, 2026.</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c.</w:t>
      </w:r>
      <w:r>
        <w:rPr>
          <w:rFonts w:ascii="Microsoft Sans Serif" w:hAnsi="Microsoft Sans Serif"/>
          <w:b/>
          <w:sz w:val="22"/>
        </w:rPr>
        <w:t>Controlling Document</w:t>
      </w:r>
      <w:r>
        <w:rPr>
          <w:rFonts w:ascii="Microsoft Sans Serif" w:hAnsi="Microsoft Sans Serif"/>
          <w:sz w:val="22"/>
        </w:rPr>
        <w:t>.  This document serves as both the Plan document and the summary description for the Plan.  This Plan replaces and supersedes any other severance policy or severance plan pursuant to which an Eligible Employee might otherwise be entitled to participate.</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2.DEFINITIONS</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a.</w:t>
      </w:r>
      <w:r>
        <w:rPr>
          <w:rFonts w:ascii="Microsoft Sans Serif" w:hAnsi="Microsoft Sans Serif"/>
          <w:b/>
          <w:sz w:val="22"/>
        </w:rPr>
        <w:t>Cause</w:t>
      </w:r>
      <w:r>
        <w:rPr>
          <w:rFonts w:ascii="Microsoft Sans Serif" w:hAnsi="Microsoft Sans Serif"/>
          <w:sz w:val="22"/>
        </w:rPr>
        <w:t xml:space="preserve"> shall mean: (i) your indictment, conviction, or plea of guilty or nolo contendere to a felony or to a misdemeanor involving moral turpitude, (ii) your breach of your duties to Valmont which causes material financial loss or disrepute to Valmont, which is not cured within three (3) days following your receipt of written notice from the Company, (iii) your violation of our code of conduct, or policies of the Company, including any written policies related to discrimination, harassment, performance of illegal or unethical activities, ethical misconduct, and conflicts of interest, which violation is not cured within three (3) days following your receipt of written notice from the Company, or (iv) your failure to act at all times in the best interests of Valmont or to carry out the duties of your position as assigned by the Chief Executive Officer or his designee, if any such failure is not cured within three (3) days following your receipt of written notice from the Chief Executive Officer or his designee. </w:t>
      </w:r>
    </w:p>
    <w:tbl>
      <w:tblPr>
        <w:tblW w:w="4008" w:type="dxa"/>
        <w:jc w:val="left"/>
        <w:tblInd w:w="0" w:type="dxa"/>
        <w:tblLayout w:type="fixed"/>
        <w:tblCellMar>
          <w:top w:w="0" w:type="dxa"/>
          <w:left w:w="0" w:type="dxa"/>
          <w:bottom w:w="0" w:type="dxa"/>
          <w:right w:w="0" w:type="dxa"/>
        </w:tblCellMar>
      </w:tblPr>
      <w:tblGrid>
        <w:gridCol w:w="23"/>
        <w:gridCol w:w="245"/>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b.</w:t>
            </w:r>
          </w:p>
        </w:tc>
        <w:tc>
          <w:tcPr>
            <w:tcW w:w="3740" w:type="dxa"/>
            <w:tcBorders/>
            <w:vAlign w:val="center"/>
          </w:tcPr>
          <w:p>
            <w:pPr>
              <w:pStyle w:val="TableContents"/>
              <w:bidi w:val="0"/>
              <w:spacing w:before="0" w:after="283"/>
              <w:jc w:val="left"/>
              <w:rPr/>
            </w:pPr>
            <w:r>
              <w:rPr>
                <w:rFonts w:ascii="Microsoft Sans Serif" w:hAnsi="Microsoft Sans Serif"/>
                <w:b/>
                <w:i w:val="false"/>
                <w:caps w:val="false"/>
                <w:smallCaps w:val="false"/>
                <w:sz w:val="22"/>
              </w:rPr>
              <w:t>Change in Control</w:t>
            </w:r>
            <w:r>
              <w:rPr>
                <w:caps w:val="false"/>
                <w:smallCaps w:val="false"/>
              </w:rPr>
              <w:t xml:space="preserve"> </w:t>
            </w:r>
            <w:r>
              <w:rPr>
                <w:rFonts w:ascii="Microsoft Sans Serif" w:hAnsi="Microsoft Sans Serif"/>
                <w:b w:val="false"/>
                <w:i w:val="false"/>
                <w:caps w:val="false"/>
                <w:smallCaps w:val="false"/>
                <w:sz w:val="22"/>
              </w:rPr>
              <w:t xml:space="preserve">shall mean: </w:t>
            </w:r>
          </w:p>
        </w:tc>
      </w:tr>
    </w:tbl>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(a)</w:t>
            </w:r>
          </w:p>
        </w:tc>
        <w:tc>
          <w:tcPr>
            <w:tcW w:w="9927"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The acquisition (other than from the Company) by any person, entity or "group", within the meaning of Section 13(d)(3) or 14(d)(2) of the Securities Exchange Act of 1934 (the “Act”) (excluding any acquisition or holding by (i) the Company or its subsidiaries or (ii) any employee benefit plan of the Company or its subsidiaries) which acquires beneficial ownership of voting securities of the Company (within the meaning of Rule 13d-3 under the Act) of 50% or more of either the then outstanding shares of common stock or the combined voting power of the Company's then outstanding voting securities entitled to vote generally in the election of directors; </w:t>
            </w:r>
          </w:p>
        </w:tc>
      </w:tr>
    </w:tbl>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(b)</w:t>
            </w:r>
          </w:p>
        </w:tc>
        <w:tc>
          <w:tcPr>
            <w:tcW w:w="9909"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Individuals who, as of the date hereof, constitute the Board of Directors (as of the date hereof the "Incumbent Board"), over a period of thirty-six consecutive months,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shall be, for purposes </w:t>
            </w:r>
          </w:p>
        </w:tc>
      </w:tr>
    </w:tbl>
    <w:p>
      <w:pPr>
        <w:pStyle w:val="HorizontalLine"/>
        <w:pBdr>
          <w:bottom w:val="double" w:sz="2" w:space="0" w:color="808080"/>
        </w:pBdr>
        <w:bidi w:val="0"/>
        <w:spacing w:before="0" w:after="283"/>
        <w:jc w:val="left"/>
        <w:rPr/>
      </w:pPr>
      <w:r>
        <w:rPr/>
      </w:r>
    </w:p>
    <w:tbl>
      <w:tblPr>
        <w:tblW w:w="10131" w:type="dxa"/>
        <w:jc w:val="left"/>
        <w:tblInd w:w="0" w:type="dxa"/>
        <w:tblLayout w:type="fixed"/>
        <w:tblCellMar>
          <w:top w:w="0" w:type="dxa"/>
          <w:left w:w="0" w:type="dxa"/>
          <w:bottom w:w="0" w:type="dxa"/>
          <w:right w:w="0" w:type="dxa"/>
        </w:tblCellMar>
      </w:tblPr>
      <w:tblGrid>
        <w:gridCol w:w="23"/>
        <w:gridCol w:w="23"/>
        <w:gridCol w:w="10085"/>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85"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of this Plan, considered as though such person were a member of the Incumbent Board;</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(c)</w:t>
            </w:r>
          </w:p>
        </w:tc>
        <w:tc>
          <w:tcPr>
            <w:tcW w:w="9946"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Consummation of a reorganization, merger or consolidation, or sale or other disposition of substantially all of the assets of the Company (a “Business Combination”), in each case, unless following such Business Combination, the persons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of the Company resulting from such Business Combination (including a company which, as a result of such transaction, owns the Company or substantially all of the Company’s assets either directly or through one or more subsidiaries), in substantially the same proportions as their ownership, immediately prior to such Business Combination, of the outstanding voting securities of the Company; or</w:t>
            </w:r>
          </w:p>
        </w:tc>
      </w:tr>
    </w:tbl>
    <w:tbl>
      <w:tblPr>
        <w:tblW w:w="9513" w:type="dxa"/>
        <w:jc w:val="left"/>
        <w:tblInd w:w="0" w:type="dxa"/>
        <w:tblLayout w:type="fixed"/>
        <w:tblCellMar>
          <w:top w:w="0" w:type="dxa"/>
          <w:left w:w="0" w:type="dxa"/>
          <w:bottom w:w="0" w:type="dxa"/>
          <w:right w:w="0" w:type="dxa"/>
        </w:tblCellMar>
      </w:tblPr>
      <w:tblGrid>
        <w:gridCol w:w="23"/>
        <w:gridCol w:w="35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(d)</w:t>
            </w:r>
          </w:p>
        </w:tc>
        <w:tc>
          <w:tcPr>
            <w:tcW w:w="9140"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Stockholder approval of the complete liquidation or dissolution of the Company.</w:t>
            </w:r>
          </w:p>
        </w:tc>
      </w:tr>
    </w:tbl>
    <w:tbl>
      <w:tblPr>
        <w:tblW w:w="9393" w:type="dxa"/>
        <w:jc w:val="left"/>
        <w:tblInd w:w="0" w:type="dxa"/>
        <w:tblLayout w:type="fixed"/>
        <w:tblCellMar>
          <w:top w:w="0" w:type="dxa"/>
          <w:left w:w="0" w:type="dxa"/>
          <w:bottom w:w="0" w:type="dxa"/>
          <w:right w:w="0" w:type="dxa"/>
        </w:tblCellMar>
      </w:tblPr>
      <w:tblGrid>
        <w:gridCol w:w="23"/>
        <w:gridCol w:w="215"/>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c.</w:t>
            </w:r>
          </w:p>
        </w:tc>
        <w:tc>
          <w:tcPr>
            <w:tcW w:w="9155" w:type="dxa"/>
            <w:tcBorders/>
            <w:vAlign w:val="center"/>
          </w:tcPr>
          <w:p>
            <w:pPr>
              <w:pStyle w:val="TableContents"/>
              <w:bidi w:val="0"/>
              <w:spacing w:before="0" w:after="283"/>
              <w:jc w:val="left"/>
              <w:rPr/>
            </w:pPr>
            <w:r>
              <w:rPr>
                <w:rFonts w:ascii="Microsoft Sans Serif" w:hAnsi="Microsoft Sans Serif"/>
                <w:b/>
                <w:i w:val="false"/>
                <w:caps w:val="false"/>
                <w:smallCaps w:val="false"/>
                <w:sz w:val="22"/>
              </w:rPr>
              <w:t>Committee</w:t>
            </w:r>
            <w:r>
              <w:rPr>
                <w:caps w:val="false"/>
                <w:smallCaps w:val="false"/>
              </w:rPr>
              <w:t xml:space="preserve"> </w:t>
            </w:r>
            <w:r>
              <w:rPr>
                <w:rFonts w:ascii="Microsoft Sans Serif" w:hAnsi="Microsoft Sans Serif"/>
                <w:b w:val="false"/>
                <w:i w:val="false"/>
                <w:caps w:val="false"/>
                <w:smallCaps w:val="false"/>
                <w:sz w:val="22"/>
              </w:rPr>
              <w:t>shall mean: Human Resources Committee of the Board of Directors.</w:t>
            </w:r>
          </w:p>
        </w:tc>
      </w:tr>
    </w:tbl>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d.</w:t>
      </w:r>
      <w:r>
        <w:rPr>
          <w:rFonts w:ascii="Microsoft Sans Serif" w:hAnsi="Microsoft Sans Serif"/>
          <w:b/>
          <w:sz w:val="22"/>
        </w:rPr>
        <w:t xml:space="preserve">Company </w:t>
      </w:r>
      <w:r>
        <w:rPr>
          <w:rFonts w:ascii="Microsoft Sans Serif" w:hAnsi="Microsoft Sans Serif"/>
          <w:sz w:val="22"/>
        </w:rPr>
        <w:t>shall mean: Valmont Industries, Inc., a Delaware corporation, and its Subsidiaries.  A Subsidiary means any corporation or partnership in which the Company owns, directly or indirectly, 50% or more with a total combined voting power of all classes of stock of such corporation, or of the capital interest or profits interests of such partnership.</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e.</w:t>
      </w:r>
      <w:r>
        <w:rPr>
          <w:rFonts w:ascii="Microsoft Sans Serif" w:hAnsi="Microsoft Sans Serif"/>
          <w:b/>
          <w:sz w:val="22"/>
        </w:rPr>
        <w:t>Disability</w:t>
      </w:r>
      <w:r>
        <w:rPr>
          <w:rFonts w:ascii="Microsoft Sans Serif" w:hAnsi="Microsoft Sans Serif"/>
          <w:sz w:val="22"/>
        </w:rPr>
        <w:t xml:space="preserve"> shall mean: the person is eligible to receive income replacement benefits for a period of not less than six months under Valmont’s Long-Term Disability Plan.</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f.</w:t>
      </w:r>
      <w:r>
        <w:rPr>
          <w:rFonts w:ascii="Microsoft Sans Serif" w:hAnsi="Microsoft Sans Serif"/>
          <w:b/>
          <w:sz w:val="22"/>
        </w:rPr>
        <w:t>Eligible Employee</w:t>
      </w:r>
      <w:r>
        <w:rPr>
          <w:rFonts w:ascii="Microsoft Sans Serif" w:hAnsi="Microsoft Sans Serif"/>
          <w:sz w:val="22"/>
        </w:rPr>
        <w:t xml:space="preserve"> shall mean: an active full-time executive employee of the Company who is designated by the Committee to participate in the Plan. The Committee designates the individuals holding the following positions as current Eligible Employees: Chief Executive Officer and the CEO’s direct reports who are executive officers. An Eligible Employee is sometimes referred to as “you” or “your” in this document.</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g.</w:t>
      </w:r>
      <w:r>
        <w:rPr>
          <w:rFonts w:ascii="Microsoft Sans Serif" w:hAnsi="Microsoft Sans Serif"/>
          <w:b/>
          <w:sz w:val="22"/>
        </w:rPr>
        <w:t xml:space="preserve">Eligible Termination </w:t>
      </w:r>
      <w:r>
        <w:rPr>
          <w:rFonts w:ascii="Microsoft Sans Serif" w:hAnsi="Microsoft Sans Serif"/>
          <w:sz w:val="22"/>
        </w:rPr>
        <w:t>shall mean: (i) your employment is involuntarily terminated without Cause by the Company or (ii) you terminate your employment for Good Reason within twenty-four months following a Change of Control.  The Committee retains the authority to determine whether or not a termination is an Eligible Termination for purposes of the Plan.  Notwithstanding the foregoing, the following terminations will not qualify as an Eligible Termination: (i) your termination for Cause, (ii) your termination due to your Disability, (iii) your death, or (iv) your voluntary termination for any reason, including retirement, except as provided in the first sentence of this Section 2.7.</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h.</w:t>
      </w:r>
      <w:r>
        <w:rPr>
          <w:rFonts w:ascii="Microsoft Sans Serif" w:hAnsi="Microsoft Sans Serif"/>
          <w:b/>
          <w:sz w:val="22"/>
        </w:rPr>
        <w:t xml:space="preserve">Good Reason </w:t>
      </w:r>
      <w:r>
        <w:rPr>
          <w:rFonts w:ascii="Microsoft Sans Serif" w:hAnsi="Microsoft Sans Serif"/>
          <w:sz w:val="22"/>
        </w:rPr>
        <w:t xml:space="preserve">shall mean: </w:t>
      </w:r>
    </w:p>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(a)</w:t>
            </w:r>
          </w:p>
        </w:tc>
        <w:tc>
          <w:tcPr>
            <w:tcW w:w="9899"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a change by the Company of an Eligible Employee’s principal place of employment of more than 50 miles of the location at which the Eligible Employee must perform his or her duties;</w:t>
            </w:r>
          </w:p>
        </w:tc>
      </w:tr>
    </w:tbl>
    <w:tbl>
      <w:tblPr>
        <w:tblW w:w="10205" w:type="dxa"/>
        <w:jc w:val="left"/>
        <w:tblInd w:w="0" w:type="dxa"/>
        <w:tblLayout w:type="fixed"/>
        <w:tblCellMar>
          <w:top w:w="0" w:type="dxa"/>
          <w:left w:w="0" w:type="dxa"/>
          <w:bottom w:w="0" w:type="dxa"/>
          <w:right w:w="0" w:type="dxa"/>
        </w:tblCellMar>
      </w:tblPr>
      <w:tblGrid>
        <w:gridCol w:w="23"/>
        <w:gridCol w:w="349"/>
        <w:gridCol w:w="9833"/>
      </w:tblGrid>
      <w:tr>
        <w:trPr/>
        <w:tc>
          <w:tcPr>
            <w:tcW w:w="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(b)</w:t>
            </w:r>
          </w:p>
        </w:tc>
        <w:tc>
          <w:tcPr>
            <w:tcW w:w="9833"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a material reduction by the Company in an Eligible Employee’s annual base salary; or </w:t>
            </w:r>
          </w:p>
        </w:tc>
      </w:tr>
    </w:tbl>
    <w:p>
      <w:pPr>
        <w:pStyle w:val="HorizontalLine"/>
        <w:pBdr>
          <w:bottom w:val="double" w:sz="2" w:space="0" w:color="808080"/>
        </w:pBdr>
        <w:bidi w:val="0"/>
        <w:spacing w:before="0" w:after="283"/>
        <w:jc w:val="left"/>
        <w:rPr/>
      </w:pPr>
      <w:r>
        <w:rPr/>
      </w:r>
    </w:p>
    <w:tbl>
      <w:tblPr>
        <w:tblW w:w="8718" w:type="dxa"/>
        <w:jc w:val="left"/>
        <w:tblInd w:w="0" w:type="dxa"/>
        <w:tblLayout w:type="fixed"/>
        <w:tblCellMar>
          <w:top w:w="0" w:type="dxa"/>
          <w:left w:w="0" w:type="dxa"/>
          <w:bottom w:w="0" w:type="dxa"/>
          <w:right w:w="0" w:type="dxa"/>
        </w:tblCellMar>
      </w:tblPr>
      <w:tblGrid>
        <w:gridCol w:w="23"/>
        <w:gridCol w:w="320"/>
        <w:gridCol w:w="83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(c)</w:t>
            </w:r>
          </w:p>
        </w:tc>
        <w:tc>
          <w:tcPr>
            <w:tcW w:w="8375"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a material diminution of an Eligible Employee’s responsibilities or duties. </w:t>
            </w:r>
          </w:p>
        </w:tc>
      </w:tr>
    </w:tbl>
    <w:p>
      <w:pPr>
        <w:pStyle w:val="TextBody"/>
        <w:bidi w:val="0"/>
        <w:spacing w:before="0" w:after="240"/>
        <w:ind w:left="810" w:right="0" w:hanging="0"/>
        <w:jc w:val="both"/>
        <w:rPr>
          <w:rFonts w:ascii="Microsoft Sans Serif" w:hAnsi="Microsoft Sans Serif"/>
          <w:sz w:val="22"/>
        </w:rPr>
      </w:pPr>
      <w:r>
        <w:rPr>
          <w:rFonts w:ascii="Microsoft Sans Serif" w:hAnsi="Microsoft Sans Serif"/>
          <w:sz w:val="22"/>
        </w:rPr>
        <w:t>In order to terminate for Good Reason, an Eligible Employee must provide 10 days’ prior written notice to the Company, which notice must be given not later than 30 days after the initial occurrence of the event asserted by the Eligible Employee to form the basis for the Good Reason claim.</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i.</w:t>
      </w:r>
      <w:r>
        <w:rPr>
          <w:rFonts w:ascii="Microsoft Sans Serif" w:hAnsi="Microsoft Sans Serif"/>
          <w:b/>
          <w:sz w:val="22"/>
        </w:rPr>
        <w:t>Plan Administrator</w:t>
      </w:r>
      <w:r>
        <w:rPr>
          <w:rFonts w:ascii="Microsoft Sans Serif" w:hAnsi="Microsoft Sans Serif"/>
          <w:sz w:val="22"/>
        </w:rPr>
        <w:t xml:space="preserve"> shall mean: the Committee or its designee.</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3.SEVERANCE PAY</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a.</w:t>
      </w:r>
      <w:r>
        <w:rPr>
          <w:rFonts w:ascii="Microsoft Sans Serif" w:hAnsi="Microsoft Sans Serif"/>
          <w:b/>
          <w:sz w:val="22"/>
        </w:rPr>
        <w:t>Process.</w:t>
      </w:r>
      <w:r>
        <w:rPr>
          <w:rFonts w:ascii="Microsoft Sans Serif" w:hAnsi="Microsoft Sans Serif"/>
          <w:sz w:val="22"/>
        </w:rPr>
        <w:t xml:space="preserve">  If you, as an Eligible Employee, incur an Eligible Termination and you satisfy specified conditions, including compliance with the restrictive covenants in Section 6,  you will be eligible to receive severance pay and benefits.  In order to receive severance pay and benefits, you must sign and not revoke a release agreement as described in Section 4 below (a “Release”).</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b.</w:t>
      </w:r>
      <w:r>
        <w:rPr>
          <w:rFonts w:ascii="Microsoft Sans Serif" w:hAnsi="Microsoft Sans Serif"/>
          <w:b/>
          <w:sz w:val="22"/>
        </w:rPr>
        <w:t>Severance Pay and Benefits.</w:t>
      </w:r>
      <w:r>
        <w:rPr>
          <w:rFonts w:ascii="Microsoft Sans Serif" w:hAnsi="Microsoft Sans Serif"/>
          <w:sz w:val="22"/>
        </w:rPr>
        <w:t xml:space="preserve">  The amount of severance pay and benefits for which you will be eligible under this Plan upon your Eligible Termination will be as follows:</w:t>
      </w:r>
    </w:p>
    <w:tbl>
      <w:tblPr>
        <w:tblW w:w="10205" w:type="dxa"/>
        <w:jc w:val="left"/>
        <w:tblInd w:w="0" w:type="dxa"/>
        <w:tblLayout w:type="fixed"/>
        <w:tblCellMar>
          <w:top w:w="0" w:type="dxa"/>
          <w:left w:w="0" w:type="dxa"/>
          <w:bottom w:w="0" w:type="dxa"/>
          <w:right w:w="0" w:type="dxa"/>
        </w:tblCellMar>
      </w:tblPr>
      <w:tblGrid>
        <w:gridCol w:w="23"/>
        <w:gridCol w:w="263"/>
        <w:gridCol w:w="9919"/>
      </w:tblGrid>
      <w:tr>
        <w:trPr/>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(a)</w:t>
            </w:r>
          </w:p>
        </w:tc>
        <w:tc>
          <w:tcPr>
            <w:tcW w:w="9919" w:type="dxa"/>
            <w:tcBorders/>
            <w:vAlign w:val="center"/>
          </w:tcPr>
          <w:p>
            <w:pPr>
              <w:pStyle w:val="TableContents"/>
              <w:bidi w:val="0"/>
              <w:spacing w:before="0" w:after="283"/>
              <w:jc w:val="left"/>
              <w:rPr/>
            </w:pPr>
            <w:r>
              <w:rPr>
                <w:rFonts w:ascii="Microsoft Sans Serif" w:hAnsi="Microsoft Sans Serif"/>
                <w:b w:val="false"/>
                <w:i/>
                <w:sz w:val="22"/>
              </w:rPr>
              <w:t>Accrued but unpaid salary, annual cash incentive bonus for completed periods,  and expenses</w:t>
            </w:r>
            <w:r>
              <w:rPr>
                <w:rFonts w:ascii="Microsoft Sans Serif" w:hAnsi="Microsoft Sans Serif"/>
                <w:b w:val="false"/>
                <w:i w:val="false"/>
                <w:caps w:val="false"/>
                <w:smallCaps w:val="false"/>
                <w:sz w:val="22"/>
              </w:rPr>
              <w:t>.  You will receive any amount of accrued but unpaid annual base salary, any earned but unpaid cash incentive bonus in respect of completed performance periods, and expenses reimbursable in accordance with the Company’s expense reimbursement policies.  </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(b)</w:t>
            </w:r>
          </w:p>
        </w:tc>
        <w:tc>
          <w:tcPr>
            <w:tcW w:w="9915" w:type="dxa"/>
            <w:tcBorders/>
            <w:vAlign w:val="center"/>
          </w:tcPr>
          <w:p>
            <w:pPr>
              <w:pStyle w:val="TableContents"/>
              <w:bidi w:val="0"/>
              <w:spacing w:before="0" w:after="283"/>
              <w:jc w:val="left"/>
              <w:rPr/>
            </w:pPr>
            <w:r>
              <w:rPr>
                <w:rFonts w:ascii="Microsoft Sans Serif" w:hAnsi="Microsoft Sans Serif"/>
                <w:b w:val="false"/>
                <w:i/>
                <w:sz w:val="22"/>
              </w:rPr>
              <w:t>A portion of your target annual incentive cash bonus for the year of termination</w:t>
            </w:r>
            <w:r>
              <w:rPr>
                <w:rFonts w:ascii="Microsoft Sans Serif" w:hAnsi="Microsoft Sans Serif"/>
                <w:b w:val="false"/>
                <w:i w:val="false"/>
                <w:caps w:val="false"/>
                <w:smallCaps w:val="false"/>
                <w:sz w:val="22"/>
              </w:rPr>
              <w:t>.  You will receive a portion of the amount of the annual cash bonus you would have received for the fiscal year of the Company when your Eligible Termination occurs based on actual performance or, if the Eligible Termination occurs within 24 months following a Change of Control as if all performance criteria is satisfied at target, and in each case, calculated as the product of (i) your target cash bonus and (ii) a fraction, the numerator of which is the number of days in the Company fiscal year that has elapsed through the date of your Eligible Termination and the denominator of which is 365.  If the Eligible Termination occurs outside of the 24 month period following a Change of Control, this amount will only be paid if your Eligible Termination occurs in the final six months of the Company’s fiscal year.  </w:t>
            </w:r>
          </w:p>
        </w:tc>
      </w:tr>
    </w:tbl>
    <w:tbl>
      <w:tblPr>
        <w:tblW w:w="6888" w:type="dxa"/>
        <w:jc w:val="left"/>
        <w:tblInd w:w="0" w:type="dxa"/>
        <w:tblLayout w:type="fixed"/>
        <w:tblCellMar>
          <w:top w:w="0" w:type="dxa"/>
          <w:left w:w="0" w:type="dxa"/>
          <w:bottom w:w="0" w:type="dxa"/>
          <w:right w:w="0" w:type="dxa"/>
        </w:tblCellMar>
      </w:tblPr>
      <w:tblGrid>
        <w:gridCol w:w="23"/>
        <w:gridCol w:w="320"/>
        <w:gridCol w:w="65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(c)</w:t>
            </w:r>
          </w:p>
        </w:tc>
        <w:tc>
          <w:tcPr>
            <w:tcW w:w="6545" w:type="dxa"/>
            <w:tcBorders/>
            <w:vAlign w:val="center"/>
          </w:tcPr>
          <w:p>
            <w:pPr>
              <w:pStyle w:val="TableContents"/>
              <w:bidi w:val="0"/>
              <w:spacing w:before="0" w:after="283"/>
              <w:jc w:val="left"/>
              <w:rPr/>
            </w:pPr>
            <w:r>
              <w:rPr>
                <w:rFonts w:ascii="Microsoft Sans Serif" w:hAnsi="Microsoft Sans Serif"/>
                <w:b w:val="false"/>
                <w:i/>
                <w:sz w:val="22"/>
              </w:rPr>
              <w:t>Severance Pay</w:t>
            </w:r>
            <w:r>
              <w:rPr>
                <w:rFonts w:ascii="Microsoft Sans Serif" w:hAnsi="Microsoft Sans Serif"/>
                <w:b w:val="false"/>
                <w:i w:val="false"/>
                <w:caps w:val="false"/>
                <w:smallCaps w:val="false"/>
                <w:sz w:val="22"/>
              </w:rPr>
              <w:t>. You will receive severance pay as follows:</w:t>
            </w:r>
          </w:p>
        </w:tc>
      </w:tr>
    </w:tbl>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(1)</w:t>
            </w:r>
          </w:p>
        </w:tc>
        <w:tc>
          <w:tcPr>
            <w:tcW w:w="9885"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For an Eligible Termination: 100% of your annual base salary and 100% of your annual target cash incentive bonus. The applicable percentages shall be 200% for the Chief Executive Officer.</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(2)</w:t>
            </w:r>
          </w:p>
        </w:tc>
        <w:tc>
          <w:tcPr>
            <w:tcW w:w="9892"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For an Eligible Termination within 24 months following a Change of Control: 200% of your annual base salary and 200% of your annual target incentive bonus.  The applicable percentages shall be 300% for the Chief Executive Officer.</w:t>
            </w:r>
          </w:p>
        </w:tc>
      </w:tr>
    </w:tbl>
    <w:tbl>
      <w:tblPr>
        <w:tblW w:w="10205" w:type="dxa"/>
        <w:jc w:val="left"/>
        <w:tblInd w:w="0" w:type="dxa"/>
        <w:tblLayout w:type="fixed"/>
        <w:tblCellMar>
          <w:top w:w="0" w:type="dxa"/>
          <w:left w:w="0" w:type="dxa"/>
          <w:bottom w:w="0" w:type="dxa"/>
          <w:right w:w="0" w:type="dxa"/>
        </w:tblCellMar>
      </w:tblPr>
      <w:tblGrid>
        <w:gridCol w:w="23"/>
        <w:gridCol w:w="314"/>
        <w:gridCol w:w="9868"/>
      </w:tblGrid>
      <w:tr>
        <w:trPr/>
        <w:tc>
          <w:tcPr>
            <w:tcW w:w="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(3)</w:t>
            </w:r>
          </w:p>
        </w:tc>
        <w:tc>
          <w:tcPr>
            <w:tcW w:w="9868"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Amounts will be paid in substantial equal installment payments over the 12 month period (or 24 month period in the case of the Chief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Executive Officer) starting on the first pay period following sixty days after the Eligible Termination, subject to 3(g) below.</w:t>
            </w:r>
          </w:p>
        </w:tc>
      </w:tr>
    </w:tbl>
    <w:tbl>
      <w:tblPr>
        <w:tblW w:w="10205" w:type="dxa"/>
        <w:jc w:val="left"/>
        <w:tblInd w:w="0" w:type="dxa"/>
        <w:tblLayout w:type="fixed"/>
        <w:tblCellMar>
          <w:top w:w="0" w:type="dxa"/>
          <w:left w:w="0" w:type="dxa"/>
          <w:bottom w:w="0" w:type="dxa"/>
          <w:right w:w="0" w:type="dxa"/>
        </w:tblCellMar>
      </w:tblPr>
      <w:tblGrid>
        <w:gridCol w:w="23"/>
        <w:gridCol w:w="264"/>
        <w:gridCol w:w="9918"/>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(d)</w:t>
            </w:r>
          </w:p>
        </w:tc>
        <w:tc>
          <w:tcPr>
            <w:tcW w:w="9918" w:type="dxa"/>
            <w:tcBorders/>
            <w:vAlign w:val="center"/>
          </w:tcPr>
          <w:p>
            <w:pPr>
              <w:pStyle w:val="TableContents"/>
              <w:bidi w:val="0"/>
              <w:spacing w:before="0" w:after="283"/>
              <w:jc w:val="left"/>
              <w:rPr/>
            </w:pPr>
            <w:r>
              <w:rPr>
                <w:rFonts w:ascii="Microsoft Sans Serif" w:hAnsi="Microsoft Sans Serif"/>
                <w:b w:val="false"/>
                <w:i/>
                <w:sz w:val="22"/>
              </w:rPr>
              <w:t>Continued Group Health Plan Coverage</w:t>
            </w:r>
            <w:r>
              <w:rPr>
                <w:rFonts w:ascii="Microsoft Sans Serif" w:hAnsi="Microsoft Sans Serif"/>
                <w:b w:val="false"/>
                <w:i w:val="false"/>
                <w:caps w:val="false"/>
                <w:smallCaps w:val="false"/>
                <w:sz w:val="22"/>
              </w:rPr>
              <w:t>.  Subject to your timely election of continuation of coverage under COBRA, you will receive reimbursement or payment of the excess of (x) the monthly cost of health benefits of the type applicable to you (including your covered dependents) under COBRA as of immediately prior to the Eligible Termination over (y) the portion of the monthly premium for such coverage that would be paid by an active employee (determined as of immediately prior to the Eligible Termination) for a period ending on the earliest of (i) the end of your COBRA period, which shall be equal to the number of months of base salary covered by your salary severance pay, (ii) your becoming eligible for other employer-sponsored group health benefits or Medicare, (iii) the expiration of your rights under COBRA and (iv) the termination of your severance payments under this Plan; provided however that these benefits will continue for no longer than the 18-month period immediately following the date of your Eligible Termination. Notwithstanding the foregoing, the foregoing benefit can be provided, at the Company’s sole discretion, in the form of a lump sum taxable severance payment in lieu of the COBRA subsidy if the COBRA subsidy is found to be discriminatory pursuant to applicable guidance.</w:t>
            </w:r>
          </w:p>
        </w:tc>
      </w:tr>
    </w:tbl>
    <w:tbl>
      <w:tblPr>
        <w:tblW w:w="10205" w:type="dxa"/>
        <w:jc w:val="left"/>
        <w:tblInd w:w="0" w:type="dxa"/>
        <w:tblLayout w:type="fixed"/>
        <w:tblCellMar>
          <w:top w:w="0" w:type="dxa"/>
          <w:left w:w="0" w:type="dxa"/>
          <w:bottom w:w="0" w:type="dxa"/>
          <w:right w:w="0" w:type="dxa"/>
        </w:tblCellMar>
      </w:tblPr>
      <w:tblGrid>
        <w:gridCol w:w="23"/>
        <w:gridCol w:w="264"/>
        <w:gridCol w:w="9918"/>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(e)</w:t>
            </w:r>
          </w:p>
        </w:tc>
        <w:tc>
          <w:tcPr>
            <w:tcW w:w="9918" w:type="dxa"/>
            <w:tcBorders/>
            <w:vAlign w:val="center"/>
          </w:tcPr>
          <w:p>
            <w:pPr>
              <w:pStyle w:val="TableContents"/>
              <w:bidi w:val="0"/>
              <w:spacing w:before="0" w:after="283"/>
              <w:jc w:val="left"/>
              <w:rPr/>
            </w:pPr>
            <w:r>
              <w:rPr>
                <w:rFonts w:ascii="Microsoft Sans Serif" w:hAnsi="Microsoft Sans Serif"/>
                <w:b w:val="false"/>
                <w:i/>
                <w:sz w:val="22"/>
              </w:rPr>
              <w:t>Coordination of Severance Pay with Various Benefits</w:t>
            </w:r>
            <w:r>
              <w:rPr>
                <w:rFonts w:ascii="Microsoft Sans Serif" w:hAnsi="Microsoft Sans Serif"/>
                <w:b w:val="false"/>
                <w:i w:val="false"/>
                <w:caps w:val="false"/>
                <w:smallCaps w:val="false"/>
                <w:sz w:val="22"/>
              </w:rPr>
              <w:t>.  The amount of severance pay payable will be reduced on a dollar-for-dollar basis by any severance, separation or termination pay or benefits the Company pays or is required to pay to you through insurance or otherwise under any plan or contract of the Company under any federal or state law.</w:t>
            </w:r>
          </w:p>
        </w:tc>
      </w:tr>
    </w:tbl>
    <w:tbl>
      <w:tblPr>
        <w:tblW w:w="10205" w:type="dxa"/>
        <w:jc w:val="left"/>
        <w:tblInd w:w="0" w:type="dxa"/>
        <w:tblLayout w:type="fixed"/>
        <w:tblCellMar>
          <w:top w:w="0" w:type="dxa"/>
          <w:left w:w="0" w:type="dxa"/>
          <w:bottom w:w="0" w:type="dxa"/>
          <w:right w:w="0" w:type="dxa"/>
        </w:tblCellMar>
      </w:tblPr>
      <w:tblGrid>
        <w:gridCol w:w="155"/>
        <w:gridCol w:w="23"/>
        <w:gridCol w:w="10027"/>
      </w:tblGrid>
      <w:tr>
        <w:trPr/>
        <w:tc>
          <w:tcPr>
            <w:tcW w:w="155" w:type="dxa"/>
            <w:tcBorders/>
            <w:vAlign w:val="center"/>
          </w:tcPr>
          <w:p>
            <w:pPr>
              <w:pStyle w:val="TableContents"/>
              <w:bidi w:val="0"/>
              <w:spacing w:before="0" w:after="283"/>
              <w:jc w:val="right"/>
              <w:rPr>
                <w:rFonts w:ascii="Microsoft Sans Serif" w:hAnsi="Microsoft Sans Serif"/>
                <w:sz w:val="22"/>
              </w:rPr>
            </w:pPr>
            <w:r>
              <w:rPr>
                <w:rFonts w:ascii="Microsoft Sans Serif" w:hAnsi="Microsoft Sans Serif"/>
                <w:sz w:val="22"/>
              </w:rPr>
              <w:t>i.</w:t>
            </w:r>
          </w:p>
        </w:tc>
        <w:tc>
          <w:tcPr>
            <w:tcW w:w="23" w:type="dxa"/>
            <w:tcBorders/>
            <w:vAlign w:val="center"/>
          </w:tcPr>
          <w:p>
            <w:pPr>
              <w:pStyle w:val="TableContents"/>
              <w:bidi w:val="0"/>
              <w:spacing w:before="0" w:after="283"/>
              <w:jc w:val="left"/>
              <w:rPr>
                <w:sz w:val="4"/>
                <w:szCs w:val="4"/>
              </w:rPr>
            </w:pPr>
            <w:r>
              <w:rPr>
                <w:sz w:val="4"/>
                <w:szCs w:val="4"/>
              </w:rPr>
            </w:r>
          </w:p>
        </w:tc>
        <w:tc>
          <w:tcPr>
            <w:tcW w:w="10027"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The Company will withhold from severance pay any amount required to be withheld pursuant to applicable federal, state or local law.  </w:t>
            </w:r>
          </w:p>
        </w:tc>
      </w:tr>
    </w:tbl>
    <w:tbl>
      <w:tblPr>
        <w:tblW w:w="10205" w:type="dxa"/>
        <w:jc w:val="left"/>
        <w:tblInd w:w="0" w:type="dxa"/>
        <w:tblLayout w:type="fixed"/>
        <w:tblCellMar>
          <w:top w:w="0" w:type="dxa"/>
          <w:left w:w="0" w:type="dxa"/>
          <w:bottom w:w="0" w:type="dxa"/>
          <w:right w:w="0" w:type="dxa"/>
        </w:tblCellMar>
      </w:tblPr>
      <w:tblGrid>
        <w:gridCol w:w="215"/>
        <w:gridCol w:w="23"/>
        <w:gridCol w:w="9967"/>
      </w:tblGrid>
      <w:tr>
        <w:trPr/>
        <w:tc>
          <w:tcPr>
            <w:tcW w:w="215" w:type="dxa"/>
            <w:tcBorders/>
            <w:vAlign w:val="center"/>
          </w:tcPr>
          <w:p>
            <w:pPr>
              <w:pStyle w:val="TableContents"/>
              <w:bidi w:val="0"/>
              <w:spacing w:before="0" w:after="283"/>
              <w:jc w:val="right"/>
              <w:rPr>
                <w:rFonts w:ascii="Microsoft Sans Serif" w:hAnsi="Microsoft Sans Serif"/>
                <w:sz w:val="22"/>
              </w:rPr>
            </w:pPr>
            <w:r>
              <w:rPr>
                <w:rFonts w:ascii="Microsoft Sans Serif" w:hAnsi="Microsoft Sans Serif"/>
                <w:sz w:val="22"/>
              </w:rPr>
              <w:t>ii.</w:t>
            </w:r>
          </w:p>
        </w:tc>
        <w:tc>
          <w:tcPr>
            <w:tcW w:w="23" w:type="dxa"/>
            <w:tcBorders/>
            <w:vAlign w:val="center"/>
          </w:tcPr>
          <w:p>
            <w:pPr>
              <w:pStyle w:val="TableContents"/>
              <w:bidi w:val="0"/>
              <w:spacing w:before="0" w:after="283"/>
              <w:jc w:val="left"/>
              <w:rPr>
                <w:sz w:val="4"/>
                <w:szCs w:val="4"/>
              </w:rPr>
            </w:pPr>
            <w:r>
              <w:rPr>
                <w:sz w:val="4"/>
                <w:szCs w:val="4"/>
              </w:rPr>
            </w:r>
          </w:p>
        </w:tc>
        <w:tc>
          <w:tcPr>
            <w:tcW w:w="9967"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If the Company incurs any Worker Adjustment and Retraining Notification Act (or similar state laws) liability affecting your termination, the amount of severance pay otherwise payable to you under this Plan will be reduced by the Company’s legally-required payments and benefits provided to you.</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(f)</w:t>
            </w:r>
          </w:p>
        </w:tc>
        <w:tc>
          <w:tcPr>
            <w:tcW w:w="9990" w:type="dxa"/>
            <w:tcBorders/>
            <w:vAlign w:val="center"/>
          </w:tcPr>
          <w:p>
            <w:pPr>
              <w:pStyle w:val="TableContents"/>
              <w:bidi w:val="0"/>
              <w:spacing w:before="0" w:after="283"/>
              <w:jc w:val="left"/>
              <w:rPr/>
            </w:pPr>
            <w:r>
              <w:rPr>
                <w:rFonts w:ascii="Microsoft Sans Serif" w:hAnsi="Microsoft Sans Serif"/>
                <w:b w:val="false"/>
                <w:i/>
                <w:sz w:val="22"/>
              </w:rPr>
              <w:t>Excess Parachute Payments</w:t>
            </w:r>
            <w:r>
              <w:rPr>
                <w:rFonts w:ascii="Microsoft Sans Serif" w:hAnsi="Microsoft Sans Serif"/>
                <w:b w:val="false"/>
                <w:i w:val="false"/>
                <w:caps w:val="false"/>
                <w:smallCaps w:val="false"/>
                <w:sz w:val="22"/>
              </w:rPr>
              <w:t>. If you are a disqualified individual (as defined in Section 280G of the Internal Revenue Code of 1986, as amended (“Code”)), and all or a portion of the severance pay and benefits to be provided to you hereunder in connection with a Change in Control, when combined with all other amounts payable to you, constitutes an excess parachute payment (as defined in Code Section 280G) that would be subject to the excise tax imposed by Code Section 4999, then the amount of severance pay and benefits provided under Section 3.2 will be equal to the “Reduced Amount”, which will be the larger of the amounts described in subsections (i) and (ii) below, with such comparison determined after taking into account all applicable federal, state and local employment and income taxes, all computed at the highest marginal rate:</w:t>
            </w:r>
          </w:p>
        </w:tc>
      </w:tr>
    </w:tbl>
    <w:tbl>
      <w:tblPr>
        <w:tblW w:w="10205" w:type="dxa"/>
        <w:jc w:val="left"/>
        <w:tblInd w:w="0" w:type="dxa"/>
        <w:tblLayout w:type="fixed"/>
        <w:tblCellMar>
          <w:top w:w="0" w:type="dxa"/>
          <w:left w:w="0" w:type="dxa"/>
          <w:bottom w:w="0" w:type="dxa"/>
          <w:right w:w="0" w:type="dxa"/>
        </w:tblCellMar>
      </w:tblPr>
      <w:tblGrid>
        <w:gridCol w:w="155"/>
        <w:gridCol w:w="23"/>
        <w:gridCol w:w="10027"/>
      </w:tblGrid>
      <w:tr>
        <w:trPr/>
        <w:tc>
          <w:tcPr>
            <w:tcW w:w="155" w:type="dxa"/>
            <w:tcBorders/>
            <w:vAlign w:val="center"/>
          </w:tcPr>
          <w:p>
            <w:pPr>
              <w:pStyle w:val="TableContents"/>
              <w:bidi w:val="0"/>
              <w:spacing w:before="0" w:after="283"/>
              <w:jc w:val="right"/>
              <w:rPr>
                <w:rFonts w:ascii="Microsoft Sans Serif" w:hAnsi="Microsoft Sans Serif"/>
                <w:sz w:val="22"/>
              </w:rPr>
            </w:pPr>
            <w:r>
              <w:rPr>
                <w:rFonts w:ascii="Microsoft Sans Serif" w:hAnsi="Microsoft Sans Serif"/>
                <w:sz w:val="22"/>
              </w:rPr>
              <w:t>i.</w:t>
            </w:r>
          </w:p>
        </w:tc>
        <w:tc>
          <w:tcPr>
            <w:tcW w:w="23" w:type="dxa"/>
            <w:tcBorders/>
            <w:vAlign w:val="center"/>
          </w:tcPr>
          <w:p>
            <w:pPr>
              <w:pStyle w:val="TableContents"/>
              <w:bidi w:val="0"/>
              <w:spacing w:before="0" w:after="283"/>
              <w:jc w:val="left"/>
              <w:rPr>
                <w:sz w:val="4"/>
                <w:szCs w:val="4"/>
              </w:rPr>
            </w:pPr>
            <w:r>
              <w:rPr>
                <w:sz w:val="4"/>
                <w:szCs w:val="4"/>
              </w:rPr>
            </w:r>
          </w:p>
        </w:tc>
        <w:tc>
          <w:tcPr>
            <w:tcW w:w="10027" w:type="dxa"/>
            <w:tcBorders/>
            <w:vAlign w:val="center"/>
          </w:tcPr>
          <w:p>
            <w:pPr>
              <w:pStyle w:val="TableContents"/>
              <w:bidi w:val="0"/>
              <w:spacing w:before="0" w:after="283"/>
              <w:jc w:val="left"/>
              <w:rPr/>
            </w:pPr>
            <w:r>
              <w:rPr>
                <w:rFonts w:ascii="Microsoft Sans Serif" w:hAnsi="Microsoft Sans Serif"/>
                <w:b/>
                <w:i/>
                <w:sz w:val="22"/>
              </w:rPr>
              <w:t xml:space="preserve">Reduction to Avoid Code Section 4999 Excise Tax. </w:t>
            </w:r>
            <w:r>
              <w:rPr>
                <w:rFonts w:ascii="Microsoft Sans Serif" w:hAnsi="Microsoft Sans Serif"/>
                <w:b w:val="false"/>
                <w:i w:val="false"/>
                <w:caps w:val="false"/>
                <w:smallCaps w:val="false"/>
                <w:sz w:val="22"/>
              </w:rPr>
              <w:t xml:space="preserve">The largest value of the severance pay and benefits that can be paid to you with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no portion of such severance pay and benefits being subject to the excise tax imposed by Code Section 4999. To reduce the total amount of severance pay and benefits payable under Section 3.2 to arrive at this reduced value, (i) first, the amount of severance pay payable under Section 3.2(c) will be reduced; then (ii) if the total amount of such severance pay is eliminated, the amount payable under Section 3.2(b) will be reduced; and then (iii) if such amount is eliminated, the value of the group health benefits paid by the Company will be reduced (in inverse order starting with the payment for the period of coverage); and</w:t>
            </w:r>
          </w:p>
        </w:tc>
      </w:tr>
    </w:tbl>
    <w:tbl>
      <w:tblPr>
        <w:tblW w:w="10205" w:type="dxa"/>
        <w:jc w:val="left"/>
        <w:tblInd w:w="0" w:type="dxa"/>
        <w:tblLayout w:type="fixed"/>
        <w:tblCellMar>
          <w:top w:w="0" w:type="dxa"/>
          <w:left w:w="0" w:type="dxa"/>
          <w:bottom w:w="0" w:type="dxa"/>
          <w:right w:w="0" w:type="dxa"/>
        </w:tblCellMar>
      </w:tblPr>
      <w:tblGrid>
        <w:gridCol w:w="215"/>
        <w:gridCol w:w="23"/>
        <w:gridCol w:w="9967"/>
      </w:tblGrid>
      <w:tr>
        <w:trPr/>
        <w:tc>
          <w:tcPr>
            <w:tcW w:w="215" w:type="dxa"/>
            <w:tcBorders/>
            <w:vAlign w:val="center"/>
          </w:tcPr>
          <w:p>
            <w:pPr>
              <w:pStyle w:val="TableContents"/>
              <w:bidi w:val="0"/>
              <w:spacing w:before="0" w:after="283"/>
              <w:jc w:val="right"/>
              <w:rPr>
                <w:rFonts w:ascii="Microsoft Sans Serif" w:hAnsi="Microsoft Sans Serif"/>
                <w:sz w:val="22"/>
              </w:rPr>
            </w:pPr>
            <w:r>
              <w:rPr>
                <w:rFonts w:ascii="Microsoft Sans Serif" w:hAnsi="Microsoft Sans Serif"/>
                <w:sz w:val="22"/>
              </w:rPr>
              <w:t>ii.</w:t>
            </w:r>
          </w:p>
        </w:tc>
        <w:tc>
          <w:tcPr>
            <w:tcW w:w="23" w:type="dxa"/>
            <w:tcBorders/>
            <w:vAlign w:val="center"/>
          </w:tcPr>
          <w:p>
            <w:pPr>
              <w:pStyle w:val="TableContents"/>
              <w:bidi w:val="0"/>
              <w:spacing w:before="0" w:after="283"/>
              <w:jc w:val="left"/>
              <w:rPr>
                <w:sz w:val="4"/>
                <w:szCs w:val="4"/>
              </w:rPr>
            </w:pPr>
            <w:r>
              <w:rPr>
                <w:sz w:val="4"/>
                <w:szCs w:val="4"/>
              </w:rPr>
            </w:r>
          </w:p>
        </w:tc>
        <w:tc>
          <w:tcPr>
            <w:tcW w:w="9967" w:type="dxa"/>
            <w:tcBorders/>
            <w:vAlign w:val="center"/>
          </w:tcPr>
          <w:p>
            <w:pPr>
              <w:pStyle w:val="TableContents"/>
              <w:bidi w:val="0"/>
              <w:spacing w:before="0" w:after="283"/>
              <w:jc w:val="left"/>
              <w:rPr/>
            </w:pPr>
            <w:r>
              <w:rPr>
                <w:rFonts w:ascii="Microsoft Sans Serif" w:hAnsi="Microsoft Sans Serif"/>
                <w:b/>
                <w:i/>
                <w:sz w:val="22"/>
              </w:rPr>
              <w:t xml:space="preserve">Reduction by Code Section 4999 Excise Tax. </w:t>
            </w:r>
            <w:r>
              <w:rPr>
                <w:rFonts w:ascii="Microsoft Sans Serif" w:hAnsi="Microsoft Sans Serif"/>
                <w:b w:val="false"/>
                <w:i w:val="false"/>
                <w:caps w:val="false"/>
                <w:smallCaps w:val="false"/>
                <w:sz w:val="22"/>
              </w:rPr>
              <w:t>The remaining value of the severance pay and benefits after such value is reduced by the amount of the Code Section 4999 excise tax applicable to the value of the severance pay and benefits.</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(g)</w:t>
            </w:r>
          </w:p>
        </w:tc>
        <w:tc>
          <w:tcPr>
            <w:tcW w:w="9910" w:type="dxa"/>
            <w:tcBorders/>
            <w:vAlign w:val="center"/>
          </w:tcPr>
          <w:p>
            <w:pPr>
              <w:pStyle w:val="TableContents"/>
              <w:bidi w:val="0"/>
              <w:spacing w:before="0" w:after="283"/>
              <w:jc w:val="left"/>
              <w:rPr/>
            </w:pPr>
            <w:r>
              <w:rPr>
                <w:rFonts w:ascii="Microsoft Sans Serif" w:hAnsi="Microsoft Sans Serif"/>
                <w:b w:val="false"/>
                <w:i/>
                <w:sz w:val="22"/>
              </w:rPr>
              <w:t>Timing of Payments</w:t>
            </w:r>
            <w:r>
              <w:rPr>
                <w:rFonts w:ascii="Microsoft Sans Serif" w:hAnsi="Microsoft Sans Serif"/>
                <w:b w:val="false"/>
                <w:i w:val="false"/>
                <w:caps w:val="false"/>
                <w:smallCaps w:val="false"/>
                <w:sz w:val="22"/>
              </w:rPr>
              <w:t>. Except as provided in Section 3.2(c), the amounts due under this Agreement will be paid to you based on the Company’s standard payroll practices, which in the case of annual incentive bonuses based on actual performance, shall be payable at the same time as payments are made to current incentive plan participants following Committee certification of performance.  However, amounts payable to you following a Change of Control will be paid to you in a lump sum within thirty days following the Change of Control.</w:t>
            </w:r>
          </w:p>
        </w:tc>
      </w:tr>
    </w:tbl>
    <w:p>
      <w:pPr>
        <w:pStyle w:val="TextBody"/>
        <w:bidi w:val="0"/>
        <w:spacing w:before="0" w:after="240"/>
        <w:ind w:left="720" w:right="0" w:firstLine="720"/>
        <w:jc w:val="both"/>
        <w:rPr>
          <w:rFonts w:ascii="Microsoft Sans Serif" w:hAnsi="Microsoft Sans Serif"/>
          <w:sz w:val="22"/>
        </w:rPr>
      </w:pPr>
      <w:r>
        <w:rPr>
          <w:rFonts w:ascii="Microsoft Sans Serif" w:hAnsi="Microsoft Sans Serif"/>
          <w:sz w:val="22"/>
        </w:rPr>
        <w:t xml:space="preserve">The Company will appoint a nationally recognized accounting firm to make the determinations required hereunder. The Company will bear all expenses with respect to the determinations by such accounting firm required to be made hereunder. The Company will use commercially reasonable efforts to cause the accounting firm engaged to make the determinations hereunder to provide its calculations, together with detailed supporting documentation, to the Company and you. </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 xml:space="preserve">4.GENERAL RELEASE.  As a condition to your receiving any severance pay and benefits (as described above), you must sign and not revoke a written release agreement (“Release”) containing any terms specified by the Company for (i) your release of the Company, its affiliates, and their representatives from all claims arising from your employment or termination of employment; (ii) to the extent applicable, your non-revocation of the Release during the 7-day period applicable to age-based claims; and (iii) to the extent required by the Committee, your promise to comply with specified restrictive covenant provisions. The Plan Administrator may terminate your eligibility for severance pay and benefits if you fail to sign, or follow the terms of, your Release or if you revoke your Release. You must sign the Release within the time period specified by the Plan Administrator in order to be eligible for any pay or benefits under this Plan, but in no event later than the 45th day following your separation from service and your receipt of the Release, after which date your severance pay and benefits will be forfeited. Notwithstanding the terms of Section 3.3 or 3.4, in no event will any severance pay or benefits be paid or provided to you or on your behalf until after you have signed your Release and your revocation period has ended. </w:t>
      </w:r>
    </w:p>
    <w:p>
      <w:pPr>
        <w:pStyle w:val="TextBody"/>
        <w:bidi w:val="0"/>
        <w:spacing w:before="0" w:after="0"/>
        <w:ind w:left="0" w:right="0" w:hanging="0"/>
        <w:jc w:val="both"/>
        <w:rPr>
          <w:rFonts w:ascii="Microsoft Sans Serif" w:hAnsi="Microsoft Sans Serif"/>
          <w:sz w:val="22"/>
        </w:rPr>
      </w:pPr>
      <w:r>
        <w:rPr>
          <w:rFonts w:ascii="Arial;Helvetica;sans-serif" w:hAnsi="Arial;Helvetica;sans-serif"/>
          <w:sz w:val="22"/>
        </w:rPr>
        <w:t>5.</w:t>
      </w:r>
      <w:r>
        <w:rPr>
          <w:rFonts w:ascii="Microsoft Sans Serif" w:hAnsi="Microsoft Sans Serif"/>
          <w:sz w:val="22"/>
        </w:rPr>
        <w:t>SECTION 409A COMPLIANCE.  </w:t>
      </w:r>
      <w:r>
        <w:rPr>
          <w:rFonts w:ascii="Arial;Helvetica;sans-serif" w:hAnsi="Arial;Helvetica;sans-serif"/>
          <w:sz w:val="22"/>
        </w:rPr>
        <w:t xml:space="preserve">This Plan is intended to comply with the requirements of Code Section 409A and shall be construed accordingly. Any payments or distributions to be made to you under this Plan upon your separation from service of amounts classified as nonqualified deferred compensation for purposes of Code Section 409A, and not exempt from Code Section 409A, will in no event be made or commence until 6 months after your separation from service. Any reference to a payment being exempt (or not exempt) from Code Section 409A refers to any </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sz w:val="22"/>
        </w:rPr>
        <w:t>applicable exemption available under Section 409A, including, without limitation, the short-term deferral rule and severance pay exemption as provided in Code Section 409A and the Treasury Regulations. Each payment under this Agreement (whether of cash, property or benefits) will be treated as a separate payment for purposes of Code Section 409A. Where this Agreement provides that a payment will be made upon a specified date or during specified period, such date or period, as required by Code Section 409A shall in no way to detract from or excuse the payment deadlines set forth in this Plan. To the extent that any payments made pursuant to this Agreement are reimbursements exempt from Code Section 409A, the amount of such payments during any calendar year shall not affect the benefits provided in any other calendar year, and the right to any such payments shall not be subject to liquidation or exchange for another benefit or payment. As required by Code Section 409A, but in no way to detract from or excuse the payment deadlines set forth in the operative provisions above in this Plan, the payment date for any reimbursements shall in no event be later than the last day of the calendar year immediately following the calendar year in which the reimbursed expense was incurred.</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Notwithstanding any provision of the Plan to the contrary, to the extent that any amount constituting Section 409A deferred compensation would become payable in a lump sum under the Plan by reason of a Change in Control, such amount shall become payable in a lump sum only if the event constituting a Change in Control would also constitute a change in ownership or effective control of the Company or a change in the ownership of a substantial portion of the assets of the Company within the meaning of Section 409A (a “409A Change in Control”). The portion of any payment benefit which constitutes Section 409A deferred compensation and which would otherwise be payable in a lump sum pursuant to Section 3.2(f) hereof upon a Change in Control that does not qualify as a 409A Change in Control shall be paid based upon the time and form of payment set forth in Section 3.2 hereof.</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 xml:space="preserve">6.RESTRICTIVE COVENANTS.  As a condition of receiving severance pay under this Agreement, you shall not: </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(a)</w:t>
            </w:r>
          </w:p>
        </w:tc>
        <w:tc>
          <w:tcPr>
            <w:tcW w:w="9929" w:type="dxa"/>
            <w:tcBorders/>
            <w:vAlign w:val="center"/>
          </w:tcPr>
          <w:p>
            <w:pPr>
              <w:pStyle w:val="TableContents"/>
              <w:bidi w:val="0"/>
              <w:spacing w:before="0" w:after="283"/>
              <w:jc w:val="left"/>
              <w:rPr/>
            </w:pPr>
            <w:r>
              <w:rPr>
                <w:rFonts w:ascii="Microsoft Sans Serif" w:hAnsi="Microsoft Sans Serif"/>
                <w:b w:val="false"/>
                <w:i w:val="false"/>
                <w:caps w:val="false"/>
                <w:smallCaps w:val="false"/>
                <w:sz w:val="22"/>
              </w:rPr>
              <w:t>disclose</w:t>
            </w:r>
            <w:r>
              <w:rPr>
                <w:caps w:val="false"/>
                <w:smallCaps w:val="false"/>
              </w:rPr>
              <w:t xml:space="preserve"> </w:t>
            </w:r>
            <w:r>
              <w:rPr>
                <w:rFonts w:ascii="Microsoft Sans Serif" w:hAnsi="Microsoft Sans Serif"/>
                <w:b w:val="false"/>
                <w:i w:val="false"/>
                <w:caps w:val="false"/>
                <w:smallCaps w:val="false"/>
                <w:sz w:val="22"/>
              </w:rPr>
              <w:t>any of Valmont’s Confidential Information except as expressly authorized in writing by Valmont or as may be required by applicable law or a valid court order.  “Confidential Information” means any information that relates to the Company’s actual or anticipated business or research and development, customer information, product information, technical data, trade secrets or know-how, and all other information that is marked or otherwise identified as confidential or proprietary, or that would otherwise appear to a reasonable person to be confidential or proprietary.  Confidential Information does not include any of the foregoing information that is or becomes publicly known through no wrongful act or omission by you or by others who were under confidentiality obligations as to the disclosed information;</w:t>
            </w:r>
          </w:p>
        </w:tc>
      </w:tr>
    </w:tbl>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(b)</w:t>
            </w:r>
          </w:p>
        </w:tc>
        <w:tc>
          <w:tcPr>
            <w:tcW w:w="9909"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during the twelve (12) months following the termination of your employment for any reason, directly or indirectly, solicit, contact (including but not limited to, email, regular mail, express mail, telephone, fax, and instant message), attempt to contact or meet with  customers or dealers or sales agents of Valmont, its affiliates or subsidiaries, with whom you had contact during your employment, for the purpose of obtaining business from such customers or dealers or sales agents in competition with Valmont; </w:t>
            </w:r>
          </w:p>
        </w:tc>
      </w:tr>
    </w:tbl>
    <w:tbl>
      <w:tblPr>
        <w:tblW w:w="10205" w:type="dxa"/>
        <w:jc w:val="left"/>
        <w:tblInd w:w="0" w:type="dxa"/>
        <w:tblLayout w:type="fixed"/>
        <w:tblCellMar>
          <w:top w:w="0" w:type="dxa"/>
          <w:left w:w="0" w:type="dxa"/>
          <w:bottom w:w="0" w:type="dxa"/>
          <w:right w:w="0" w:type="dxa"/>
        </w:tblCellMar>
      </w:tblPr>
      <w:tblGrid>
        <w:gridCol w:w="23"/>
        <w:gridCol w:w="249"/>
        <w:gridCol w:w="9933"/>
      </w:tblGrid>
      <w:tr>
        <w:trPr/>
        <w:tc>
          <w:tcPr>
            <w:tcW w:w="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(c)</w:t>
            </w:r>
          </w:p>
        </w:tc>
        <w:tc>
          <w:tcPr>
            <w:tcW w:w="9933"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during the twelve (12) months following the termination of your employment for any reason, directly or indirectly, solicit, hire, recruit, attempt to hire or recruit, or induce the termination of employment of any employee of the business(es) of Valmont, its affiliates or subsidiaries to join another firm or business with which you have become affiliated; or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(d)</w:t>
            </w:r>
          </w:p>
        </w:tc>
        <w:tc>
          <w:tcPr>
            <w:tcW w:w="9913"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In the event of a breach of any of the covenants above,  you hereby consent and agree that Valmont shall be entitled to seek, in addition to other available remedies, a temporary or permanent injunction or other equitable relief against such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including reduction of severance pay under Section 3.2.</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Microsoft Sans Serif" w:hAnsi="Microsoft Sans Serif"/>
                <w:sz w:val="22"/>
              </w:rPr>
            </w:pPr>
            <w:r>
              <w:rPr>
                <w:rFonts w:ascii="Microsoft Sans Serif" w:hAnsi="Microsoft Sans Serif"/>
                <w:sz w:val="22"/>
              </w:rPr>
              <w:t>(e)</w:t>
            </w:r>
          </w:p>
        </w:tc>
        <w:tc>
          <w:tcPr>
            <w:tcW w:w="9900" w:type="dxa"/>
            <w:tcBorders/>
            <w:vAlign w:val="center"/>
          </w:tcPr>
          <w:p>
            <w:pPr>
              <w:pStyle w:val="TableContents"/>
              <w:bidi w:val="0"/>
              <w:spacing w:before="0" w:after="283"/>
              <w:jc w:val="left"/>
              <w:rPr>
                <w:rFonts w:ascii="Microsoft Sans Serif" w:hAnsi="Microsoft Sans Serif"/>
                <w:b w:val="false"/>
                <w:i w:val="false"/>
                <w:caps w:val="false"/>
                <w:smallCaps w:val="false"/>
                <w:sz w:val="22"/>
              </w:rPr>
            </w:pPr>
            <w:r>
              <w:rPr>
                <w:rFonts w:ascii="Microsoft Sans Serif" w:hAnsi="Microsoft Sans Serif"/>
                <w:b w:val="false"/>
                <w:i w:val="false"/>
                <w:caps w:val="false"/>
                <w:smallCaps w:val="false"/>
                <w:sz w:val="22"/>
              </w:rPr>
              <w:t xml:space="preserve">The foregoing provisions shall not prohibit you from reporting possible violations of federal law or making disclosures that are protected under the whistleblower provisions of federal law. </w:t>
            </w:r>
          </w:p>
        </w:tc>
      </w:tr>
    </w:tbl>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7.ADMINISTRATION</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a.</w:t>
      </w:r>
      <w:r>
        <w:rPr>
          <w:rFonts w:ascii="Microsoft Sans Serif" w:hAnsi="Microsoft Sans Serif"/>
          <w:b/>
          <w:sz w:val="22"/>
        </w:rPr>
        <w:t xml:space="preserve">Interpretation. </w:t>
      </w:r>
      <w:r>
        <w:rPr>
          <w:rFonts w:ascii="Microsoft Sans Serif" w:hAnsi="Microsoft Sans Serif"/>
          <w:sz w:val="22"/>
        </w:rPr>
        <w:t>The Committee has the exclusive authority and discretion to interpret this Plan with respect to any question arising under this Plan, including eligibility for benefits and the amount, term and duration of benefits. Any variation in the amount, term or duration of an individual's severance pay from the amount, term or duration described in the guidelines above will affect only the individual(s) whom the variation applies. The interpretations, decisions and determinations of the Plan Administrator are conclusive and binding on the Company and all of its employees, including the applicable Eligible Employees.</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b.</w:t>
      </w:r>
      <w:r>
        <w:rPr>
          <w:rFonts w:ascii="Microsoft Sans Serif" w:hAnsi="Microsoft Sans Serif"/>
          <w:b/>
          <w:sz w:val="22"/>
        </w:rPr>
        <w:t xml:space="preserve">Rights. </w:t>
      </w:r>
      <w:r>
        <w:rPr>
          <w:rFonts w:ascii="Microsoft Sans Serif" w:hAnsi="Microsoft Sans Serif"/>
          <w:sz w:val="22"/>
        </w:rPr>
        <w:t>This Plan does not create any vested rights in any individual. In addition, this Plan does not affect the right of the Company conduct its business affairs, including laying off or terminating the employment of any employee.</w:t>
      </w:r>
    </w:p>
    <w:p>
      <w:pPr>
        <w:pStyle w:val="TextBody"/>
        <w:bidi w:val="0"/>
        <w:spacing w:before="0" w:after="240"/>
        <w:ind w:left="0" w:right="0" w:hanging="0"/>
        <w:jc w:val="both"/>
        <w:rPr>
          <w:rFonts w:ascii="Microsoft Sans Serif" w:hAnsi="Microsoft Sans Serif"/>
          <w:sz w:val="22"/>
        </w:rPr>
      </w:pPr>
      <w:r>
        <w:rPr>
          <w:rFonts w:ascii="Microsoft Sans Serif" w:hAnsi="Microsoft Sans Serif"/>
          <w:sz w:val="22"/>
        </w:rPr>
        <w:t>c.</w:t>
      </w:r>
      <w:r>
        <w:rPr>
          <w:rFonts w:ascii="Microsoft Sans Serif" w:hAnsi="Microsoft Sans Serif"/>
          <w:b/>
          <w:sz w:val="22"/>
        </w:rPr>
        <w:t>Governing Law</w:t>
      </w:r>
      <w:r>
        <w:rPr>
          <w:rFonts w:ascii="Microsoft Sans Serif" w:hAnsi="Microsoft Sans Serif"/>
          <w:sz w:val="22"/>
        </w:rPr>
        <w:t>.  This Plan shall be governed by, and interpreted under the laws of, the State of Nebraska.</w:t>
      </w:r>
    </w:p>
    <w:p>
      <w:pPr>
        <w:pStyle w:val="TextBody"/>
        <w:bidi w:val="0"/>
        <w:spacing w:before="0" w:after="0"/>
        <w:ind w:left="0" w:right="0" w:hanging="0"/>
        <w:jc w:val="both"/>
        <w:rPr>
          <w:rFonts w:ascii="Microsoft Sans Serif" w:hAnsi="Microsoft Sans Serif"/>
          <w:sz w:val="22"/>
        </w:rPr>
      </w:pPr>
      <w:r>
        <w:rPr>
          <w:rFonts w:ascii="Microsoft Sans Serif" w:hAnsi="Microsoft Sans Serif"/>
          <w:sz w:val="22"/>
        </w:rPr>
        <w:t>d.</w:t>
      </w:r>
      <w:r>
        <w:rPr>
          <w:rFonts w:ascii="Microsoft Sans Serif" w:hAnsi="Microsoft Sans Serif"/>
          <w:b/>
          <w:sz w:val="22"/>
        </w:rPr>
        <w:t xml:space="preserve">Amendment and Termination. </w:t>
      </w:r>
      <w:r>
        <w:rPr>
          <w:rFonts w:ascii="Microsoft Sans Serif" w:hAnsi="Microsoft Sans Serif"/>
          <w:sz w:val="22"/>
        </w:rPr>
        <w:t>The Committee reserves the right to amend or terminate (in whole or in part) this Plan at any time; provided, any amendment reducing benefits becomes effective six months after the action of the Committee. Notwithstanding the foregoing, during the 24 month period following a Change of Control, the Company and the Plan Administrator may not, without a participant’s written consent, amend or terminate the Plan in any way, or take any other action, that (i) prevents that Participant from becoming eligible for severance benefits under the Plan, or (ii) reduces or alters to the detriment of the Participant the severance benefits payable during the 24 month period following a Change of Control, or potentially payable, to a Participant under the Plan.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9" w:name="vmi-20260627xex31d1.htm"/>
      <w:bookmarkStart w:id="1830" w:name="ksvmi20260627xex31d1"/>
      <w:bookmarkEnd w:id="1829"/>
      <w:bookmarkEnd w:id="183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Avner M. Applbaum, certify that:</w:t>
      </w:r>
    </w:p>
    <w:tbl>
      <w:tblPr>
        <w:tblW w:w="9445" w:type="dxa"/>
        <w:jc w:val="left"/>
        <w:tblInd w:w="0" w:type="dxa"/>
        <w:tblLayout w:type="fixed"/>
        <w:tblCellMar>
          <w:top w:w="0" w:type="dxa"/>
          <w:left w:w="0" w:type="dxa"/>
          <w:bottom w:w="0" w:type="dxa"/>
          <w:right w:w="0" w:type="dxa"/>
        </w:tblCellMar>
      </w:tblPr>
      <w:tblGrid>
        <w:gridCol w:w="170"/>
        <w:gridCol w:w="92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for the quarter ended June 27, 2026 of Valmont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365" w:type="dxa"/>
        <w:jc w:val="center"/>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8740" cy="175260"/>
                      <wp:effectExtent l="0" t="0" r="0" b="0"/>
                      <wp:wrapNone/>
                      <wp:docPr id="30" name="Frame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58035" cy="175260"/>
                      <wp:effectExtent l="0" t="0" r="0" b="0"/>
                      <wp:wrapNone/>
                      <wp:docPr id="31" name="Frame3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07"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c>
      </w:tr>
      <w:tr>
        <w:trPr/>
        <w:tc>
          <w:tcPr>
            <w:tcW w:w="124" w:type="dxa"/>
            <w:tcBorders/>
            <w:vAlign w:val="center"/>
          </w:tcPr>
          <w:p>
            <w:pPr>
              <w:pStyle w:val="TableContents"/>
              <w:bidi w:val="0"/>
              <w:spacing w:lineRule="auto" w:line="307"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i/>
                <w:sz w:val="20"/>
              </w:rPr>
              <w:t>Avner M. Applbaum</w:t>
            </w:r>
            <w:r>
              <w:rPr>
                <w:rFonts w:ascii="Times New Roman;Times;serif" w:hAnsi="Times New Roman;Times;serif"/>
                <w:sz w:val="20"/>
              </w:rPr>
              <w:br/>
            </w:r>
            <w:r>
              <w:rPr>
                <w:rFonts w:ascii="Times New Roman;Times;serif" w:hAnsi="Times New Roman;Times;serif"/>
                <w:i/>
                <w:sz w:val="20"/>
              </w:rPr>
              <w:t>President and Chief Executive Officer</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July 28,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31" w:name="vmi-20260627xex31d2.htm"/>
      <w:bookmarkStart w:id="1832" w:name="ksvmi20260627xex31d2"/>
      <w:bookmarkEnd w:id="1831"/>
      <w:bookmarkEnd w:id="183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John Schwietz, certify that:</w:t>
      </w:r>
    </w:p>
    <w:tbl>
      <w:tblPr>
        <w:tblW w:w="9445" w:type="dxa"/>
        <w:jc w:val="left"/>
        <w:tblInd w:w="0" w:type="dxa"/>
        <w:tblLayout w:type="fixed"/>
        <w:tblCellMar>
          <w:top w:w="0" w:type="dxa"/>
          <w:left w:w="0" w:type="dxa"/>
          <w:bottom w:w="0" w:type="dxa"/>
          <w:right w:w="0" w:type="dxa"/>
        </w:tblCellMar>
      </w:tblPr>
      <w:tblGrid>
        <w:gridCol w:w="170"/>
        <w:gridCol w:w="92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for the quarter ended June 27, 2026 of Valmont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8740" cy="175260"/>
                      <wp:effectExtent l="0" t="0" r="0" b="0"/>
                      <wp:wrapNone/>
                      <wp:docPr id="32" name="Frame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8425" cy="175260"/>
                      <wp:effectExtent l="0" t="0" r="0" b="0"/>
                      <wp:wrapNone/>
                      <wp:docPr id="33" name="Frame3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8740" cy="175260"/>
                      <wp:effectExtent l="0" t="0" r="0" b="0"/>
                      <wp:wrapNone/>
                      <wp:docPr id="34" name="Frame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8425" cy="2053590"/>
                      <wp:effectExtent l="0" t="0" r="0" b="0"/>
                      <wp:wrapNone/>
                      <wp:docPr id="35" name="Frame35"/>
                      <a:graphic xmlns:a="http://schemas.openxmlformats.org/drawingml/2006/main">
                        <a:graphicData uri="http://schemas.microsoft.com/office/word/2010/wordprocessingShape">
                          <wps:wsp>
                            <wps:cNvSpPr txBox="1"/>
                            <wps:spPr>
                              <a:xfrm>
                                <a:off x="0" y="0"/>
                                <a:ext cx="98425" cy="205359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JOHN SCHWIETZ</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JOHN SCHWIETZ</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8740" cy="175260"/>
                      <wp:effectExtent l="0" t="0" r="0" b="0"/>
                      <wp:wrapNone/>
                      <wp:docPr id="36" name="Frame3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8425" cy="2842895"/>
                      <wp:effectExtent l="0" t="0" r="0" b="0"/>
                      <wp:wrapNone/>
                      <wp:docPr id="37" name="Frame37"/>
                      <a:graphic xmlns:a="http://schemas.openxmlformats.org/drawingml/2006/main">
                        <a:graphicData uri="http://schemas.microsoft.com/office/word/2010/wordprocessingShape">
                          <wps:wsp>
                            <wps:cNvSpPr txBox="1"/>
                            <wps:spPr>
                              <a:xfrm>
                                <a:off x="0" y="0"/>
                                <a:ext cx="98425" cy="28428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xbxContent>
                      </v:textbox>
                      <w10:wrap type="none"/>
                    </v:rect>
                  </w:pict>
                </mc:Fallback>
              </mc:AlternateConten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July 28,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33" w:name="vmi-20260627xex32d1.htm"/>
      <w:bookmarkStart w:id="1834" w:name="ksvmi20260627xex32d1"/>
      <w:bookmarkEnd w:id="1833"/>
      <w:bookmarkEnd w:id="1834"/>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Avner M. Applbaum, President and Chief Executive Officer of Valmont Industries, Inc. (the “Company”), has executed this certification in connection with the filing of the Company’s Quarterly Report on Form 10-Q for the quarter ended June 27, 2026 (the “Report”) with the Securities and Exchange Commission.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28th day of July 2026.</w:t>
      </w:r>
    </w:p>
    <w:p>
      <w:pPr>
        <w:pStyle w:val="TextBody"/>
        <w:bidi w:val="0"/>
        <w:spacing w:before="0" w:after="0"/>
        <w:ind w:left="0" w:right="0" w:firstLine="72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8740" cy="175260"/>
                      <wp:effectExtent l="0" t="0" r="0" b="0"/>
                      <wp:wrapNone/>
                      <wp:docPr id="38" name="Frame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7790" cy="175260"/>
                      <wp:effectExtent l="0" t="0" r="0" b="0"/>
                      <wp:wrapNone/>
                      <wp:docPr id="39" name="Frame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8740" cy="175260"/>
                      <wp:effectExtent l="0" t="0" r="0" b="0"/>
                      <wp:wrapNone/>
                      <wp:docPr id="40" name="Frame4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7790" cy="2493645"/>
                      <wp:effectExtent l="0" t="0" r="0" b="0"/>
                      <wp:wrapNone/>
                      <wp:docPr id="41" name="Frame41"/>
                      <a:graphic xmlns:a="http://schemas.openxmlformats.org/drawingml/2006/main">
                        <a:graphicData uri="http://schemas.microsoft.com/office/word/2010/wordprocessingShape">
                          <wps:wsp>
                            <wps:cNvSpPr txBox="1"/>
                            <wps:spPr>
                              <a:xfrm>
                                <a:off x="0" y="0"/>
                                <a:ext cx="9779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8740" cy="175260"/>
                      <wp:effectExtent l="0" t="0" r="0" b="0"/>
                      <wp:wrapNone/>
                      <wp:docPr id="42" name="Frame4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7790" cy="6600825"/>
                      <wp:effectExtent l="0" t="0" r="0" b="0"/>
                      <wp:wrapNone/>
                      <wp:docPr id="43" name="Frame43"/>
                      <a:graphic xmlns:a="http://schemas.openxmlformats.org/drawingml/2006/main">
                        <a:graphicData uri="http://schemas.microsoft.com/office/word/2010/wordprocessingShape">
                          <wps:wsp>
                            <wps:cNvSpPr txBox="1"/>
                            <wps:spPr>
                              <a:xfrm>
                                <a:off x="0" y="0"/>
                                <a:ext cx="97790" cy="660082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1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v:textbox>
                      <w10:wrap type="none"/>
                    </v:rect>
                  </w:pict>
                </mc:Fallback>
              </mc:AlternateContent>
            </w:r>
          </w:p>
        </w:tc>
      </w:tr>
    </w:tbl>
    <w:p>
      <w:pPr>
        <w:pStyle w:val="TextBody"/>
        <w:bidi w:val="0"/>
        <w:spacing w:before="96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John Schwietz, Executive Vice President and Chief Financial Officer of Valmont Industries, Inc. (the “Company”), has executed this certification in connection with the filing of the Company’s Quarterly Report on Form 10-Q for the quarter ended June 27, 2026 (the “Report”) with the Securities and Exchange Commission.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28th day of July 2026.</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8740" cy="175260"/>
                      <wp:effectExtent l="0" t="0" r="0" b="0"/>
                      <wp:wrapNone/>
                      <wp:docPr id="44" name="Frame4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8425" cy="175260"/>
                      <wp:effectExtent l="0" t="0" r="0" b="0"/>
                      <wp:wrapNone/>
                      <wp:docPr id="45" name="Frame4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8740" cy="175260"/>
                      <wp:effectExtent l="0" t="0" r="0" b="0"/>
                      <wp:wrapNone/>
                      <wp:docPr id="46" name="Frame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8425" cy="2053590"/>
                      <wp:effectExtent l="0" t="0" r="0" b="0"/>
                      <wp:wrapNone/>
                      <wp:docPr id="47" name="Frame47"/>
                      <a:graphic xmlns:a="http://schemas.openxmlformats.org/drawingml/2006/main">
                        <a:graphicData uri="http://schemas.microsoft.com/office/word/2010/wordprocessingShape">
                          <wps:wsp>
                            <wps:cNvSpPr txBox="1"/>
                            <wps:spPr>
                              <a:xfrm>
                                <a:off x="0" y="0"/>
                                <a:ext cx="98425" cy="205359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JOHN SCHWIETZ</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JOHN SCHWIETZ</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8740" cy="175260"/>
                      <wp:effectExtent l="0" t="0" r="0" b="0"/>
                      <wp:wrapNone/>
                      <wp:docPr id="48" name="Frame4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8425" cy="2709545"/>
                      <wp:effectExtent l="0" t="0" r="0" b="0"/>
                      <wp:wrapNone/>
                      <wp:docPr id="49" name="Frame49"/>
                      <a:graphic xmlns:a="http://schemas.openxmlformats.org/drawingml/2006/main">
                        <a:graphicData uri="http://schemas.microsoft.com/office/word/2010/wordprocessingShape">
                          <wps:wsp>
                            <wps:cNvSpPr txBox="1"/>
                            <wps:spPr>
                              <a:xfrm>
                                <a:off x="0" y="0"/>
                                <a:ext cx="98425" cy="27095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13.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Microsoft Sans Serif">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729/000110465926068929/vmi-20260526xex10d1.htm" TargetMode="External"/><Relationship Id="rId3" Type="http://schemas.openxmlformats.org/officeDocument/2006/relationships/hyperlink" Target="https://www.sec.gov/Archives/edgar/data/102729/000010272921000055/vmi-ex221_20210925x10q.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20007</Words>
  <Characters>114168</Characters>
  <CharactersWithSpaces>136171</CharactersWithSpaces>
  <Paragraphs>7319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