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vmi-20260328x10q.htm"/>
        <w:bookmarkStart w:id="1" w:name="ksvmi20260328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center"/>
        <w:rPr/>
      </w:pPr>
      <w:r>
        <w:rPr/>
        <w:t>​</w:t>
      </w:r>
    </w:p>
    <w:p>
      <w:pPr>
        <w:pStyle w:val="TextBody"/>
        <w:bidi w:val="0"/>
        <w:spacing w:before="240" w:after="0"/>
        <w:ind w:left="0" w:right="0" w:hanging="0"/>
        <w:jc w:val="center"/>
        <w:rPr>
          <w:rFonts w:ascii="Times New Roman;Times;serif" w:hAnsi="Times New Roman;Times;serif"/>
          <w:b/>
          <w:sz w:val="28"/>
        </w:rPr>
      </w:pPr>
      <w:bookmarkStart w:id="2" w:name="_a7aa53c2_b844_4f2e_8be2_9cd6c9caff4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pBdr/>
        <w:bidi w:val="0"/>
        <w:spacing w:before="0" w:after="40"/>
        <w:ind w:left="0" w:right="0" w:hanging="72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For the quarterly period ended March 28, 2026</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pBdr/>
        <w:bidi w:val="0"/>
        <w:spacing w:before="0" w:after="40"/>
        <w:ind w:left="0" w:right="0" w:hanging="72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For the transition period from ______ to ______</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Commission File Number: 001-31429</w:t>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Valmont Industries,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hYCIiTFsSUuc4queEccMUw_4_1"/>
      <w:bookmarkStart w:id="4" w:name="Tc_kBFFZ53J30qAbdGbuX5RjQ_4_0"/>
      <w:bookmarkStart w:id="5" w:name="Tc_NbejGQiNI0yxsKfyFFFX8w_3_0"/>
      <w:bookmarkStart w:id="6" w:name="Tc_KIbbgPw55UmsIjrH2QKIOg_1_1"/>
      <w:bookmarkStart w:id="7" w:name="Tc_IlwF4SRHm0mKROJFkTnBmA_1_0"/>
      <w:bookmarkStart w:id="8" w:name="_f59667ac_8a3c_43a8_948e_b8383e488bc6"/>
      <w:bookmarkStart w:id="9" w:name="Tc_hYCIiTFsSUuc4queEccMUw_4_1"/>
      <w:bookmarkStart w:id="10" w:name="Tc_kBFFZ53J30qAbdGbuX5RjQ_4_0"/>
      <w:bookmarkStart w:id="11" w:name="Tc_NbejGQiNI0yxsKfyFFFX8w_3_0"/>
      <w:bookmarkStart w:id="12" w:name="Tc_KIbbgPw55UmsIjrH2QKIOg_1_1"/>
      <w:bookmarkStart w:id="13" w:name="Tc_IlwF4SRHm0mKROJFkTnBmA_1_0"/>
      <w:bookmarkStart w:id="14" w:name="_f59667ac_8a3c_43a8_948e_b8383e488bc6"/>
      <w:bookmarkEnd w:id="9"/>
      <w:bookmarkEnd w:id="10"/>
      <w:bookmarkEnd w:id="11"/>
      <w:bookmarkEnd w:id="12"/>
      <w:bookmarkEnd w:id="13"/>
      <w:bookmarkEnd w:id="14"/>
    </w:p>
    <w:tbl>
      <w:tblPr>
        <w:tblW w:w="6962" w:type="dxa"/>
        <w:jc w:val="left"/>
        <w:tblInd w:w="0" w:type="dxa"/>
        <w:tblLayout w:type="fixed"/>
        <w:tblCellMar>
          <w:top w:w="0" w:type="dxa"/>
          <w:left w:w="0" w:type="dxa"/>
          <w:bottom w:w="0" w:type="dxa"/>
          <w:right w:w="0" w:type="dxa"/>
        </w:tblCellMar>
      </w:tblPr>
      <w:tblGrid>
        <w:gridCol w:w="4291"/>
        <w:gridCol w:w="2671"/>
      </w:tblGrid>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Omaha,</w:t>
            </w:r>
            <w:r>
              <w:rPr>
                <w:rFonts w:ascii="Times New Roman;Times;serif" w:hAnsi="Times New Roman;Times;serif"/>
                <w:sz w:val="20"/>
              </w:rPr>
              <w:t xml:space="preserve"> </w:t>
            </w:r>
            <w:r>
              <w:rPr>
                <w:rFonts w:ascii="Times New Roman;Times;serif" w:hAnsi="Times New Roman;Times;serif"/>
                <w:b/>
                <w:sz w:val="20"/>
              </w:rPr>
              <w:t>Nebraska</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b/>
          <w:sz w:val="20"/>
        </w:rPr>
        <w:t>(402)</w:t>
      </w:r>
      <w:r>
        <w:rPr>
          <w:rFonts w:ascii="Times New Roman;Times;serif" w:hAnsi="Times New Roman;Times;serif"/>
          <w:sz w:val="20"/>
        </w:rPr>
        <w:t xml:space="preserve"> </w:t>
      </w:r>
      <w:r>
        <w:rPr>
          <w:rFonts w:ascii="Times New Roman;Times;serif" w:hAnsi="Times New Roman;Times;serif"/>
          <w:b/>
          <w:sz w:val="20"/>
        </w:rPr>
        <w:t>963-1000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120"/>
        <w:ind w:left="36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9KjFsaXQ-0e2klntjE4Mfw_0_4"/>
      <w:bookmarkStart w:id="16" w:name="Tc_-R8uw7Ri1E6zbutHViWITg_0_2"/>
      <w:bookmarkStart w:id="17" w:name="Tc__WF5UYsoIESfGK2PFm38Nw_0_0"/>
      <w:bookmarkStart w:id="18" w:name="_4994dc0c_fc3c_4ab9_8896_c80deb3003db"/>
      <w:bookmarkStart w:id="19" w:name="Tc_9KjFsaXQ-0e2klntjE4Mfw_0_4"/>
      <w:bookmarkStart w:id="20" w:name="Tc_-R8uw7Ri1E6zbutHViWITg_0_2"/>
      <w:bookmarkStart w:id="21" w:name="Tc__WF5UYsoIESfGK2PFm38Nw_0_0"/>
      <w:bookmarkStart w:id="22" w:name="_4994dc0c_fc3c_4ab9_8896_c80deb3003db"/>
      <w:bookmarkEnd w:id="19"/>
      <w:bookmarkEnd w:id="20"/>
      <w:bookmarkEnd w:id="21"/>
      <w:bookmarkEnd w:id="22"/>
    </w:p>
    <w:tbl>
      <w:tblPr>
        <w:tblW w:w="7910" w:type="dxa"/>
        <w:jc w:val="left"/>
        <w:tblInd w:w="0" w:type="dxa"/>
        <w:tblLayout w:type="fixed"/>
        <w:tblCellMar>
          <w:top w:w="0" w:type="dxa"/>
          <w:left w:w="0" w:type="dxa"/>
          <w:bottom w:w="28" w:type="dxa"/>
          <w:right w:w="0" w:type="dxa"/>
        </w:tblCellMar>
      </w:tblPr>
      <w:tblGrid>
        <w:gridCol w:w="2416"/>
        <w:gridCol w:w="226"/>
        <w:gridCol w:w="1561"/>
        <w:gridCol w:w="226"/>
        <w:gridCol w:w="3481"/>
      </w:tblGrid>
      <w:tr>
        <w:trPr/>
        <w:tc>
          <w:tcPr>
            <w:tcW w:w="24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26" w:type="dxa"/>
            <w:tcBorders/>
            <w:tcMar>
              <w:bottom w:w="0"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26" w:type="dxa"/>
            <w:tcBorders/>
            <w:tcMar>
              <w:bottom w:w="0"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4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$1.00 par value</w:t>
            </w:r>
          </w:p>
        </w:tc>
        <w:tc>
          <w:tcPr>
            <w:tcW w:w="226" w:type="dxa"/>
            <w:tcBorders/>
            <w:tcMar>
              <w:bottom w:w="0" w:type="dxa"/>
            </w:tcMar>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VMI</w:t>
            </w:r>
          </w:p>
        </w:tc>
        <w:tc>
          <w:tcPr>
            <w:tcW w:w="226" w:type="dxa"/>
            <w:tcBorders/>
            <w:tcMar>
              <w:bottom w:w="0" w:type="dxa"/>
            </w:tcMar>
            <w:vAlign w:val="center"/>
          </w:tcPr>
          <w:p>
            <w:pPr>
              <w:pStyle w:val="TableContents"/>
              <w:bidi w:val="0"/>
              <w:spacing w:before="0" w:after="0"/>
              <w:ind w:left="0" w:right="0" w:hanging="0"/>
              <w:jc w:val="left"/>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240" w:after="12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r>
        <w:rPr>
          <w:rFonts w:ascii="Times New Roman;Times;serif" w:hAnsi="Times New Roman;Times;serif"/>
          <w:sz w:val="18"/>
        </w:rPr>
        <w:t xml:space="preserve">Accelerated filer </w:t>
      </w:r>
      <w:r>
        <w:rPr>
          <w:rFonts w:ascii="Times New Roman;Times;serif" w:hAnsi="Times New Roman;Times;serif"/>
          <w:sz w:val="20"/>
        </w:rPr>
        <w:t>☐</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18"/>
        </w:rPr>
        <w:t xml:space="preserve">Non-accelerated filer </w:t>
      </w:r>
      <w:r>
        <w:rPr>
          <w:rFonts w:ascii="Times New Roman;Times;serif" w:hAnsi="Times New Roman;Times;serif"/>
          <w:sz w:val="20"/>
        </w:rPr>
        <w:t>☐</w:t>
      </w:r>
      <w:r>
        <w:rPr>
          <w:rFonts w:ascii="Times New Roman;Times;serif" w:hAnsi="Times New Roman;Times;serif"/>
          <w:sz w:val="18"/>
        </w:rPr>
        <w:t>Smaller reporting company</w:t>
      </w:r>
      <w:r>
        <w:rPr>
          <w:rFonts w:ascii="Times New Roman;Times;serif" w:hAnsi="Times New Roman;Times;serif"/>
          <w:sz w:val="20"/>
        </w:rPr>
        <w:t xml:space="preserve"> ☐</w:t>
      </w:r>
    </w:p>
    <w:p>
      <w:pPr>
        <w:pStyle w:val="TextBody"/>
        <w:bidi w:val="0"/>
        <w:spacing w:before="0" w:after="120"/>
        <w:ind w:left="2880" w:right="0" w:firstLine="2880"/>
        <w:jc w:val="left"/>
        <w:rPr>
          <w:rFonts w:ascii="Times New Roman;Times;serif" w:hAnsi="Times New Roman;Times;serif"/>
          <w:sz w:val="20"/>
        </w:rPr>
      </w:pPr>
      <w:r>
        <w:rPr>
          <w:rFonts w:ascii="Times New Roman;Times;serif" w:hAnsi="Times New Roman;Times;serif"/>
          <w:sz w:val="18"/>
        </w:rPr>
        <w:t>Emerging growth company</w:t>
      </w:r>
      <w:r>
        <w:rPr>
          <w:rFonts w:ascii="Times New Roman;Times;serif" w:hAnsi="Times New Roman;Times;serif"/>
          <w:sz w:val="20"/>
        </w:rPr>
        <w:t xml:space="preserve"> ☐</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36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w:t>
      </w:r>
      <w:r>
        <w:rPr>
          <w:rFonts w:ascii="Times New Roman;Times;serif" w:hAnsi="Times New Roman;Times;serif"/>
          <w:sz w:val="20"/>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sz w:val="18"/>
        </w:rPr>
        <w:t>As of April 24, 2026, there were 19,413,651 shares of the registrant’s common stock outstanding.</w:t>
      </w:r>
    </w:p>
    <w:p>
      <w:pPr>
        <w:pStyle w:val="TextBody"/>
        <w:pBdr>
          <w:top w:val="single" w:sz="2" w:space="1" w:color="000000"/>
          <w:bottom w:val="single" w:sz="24" w:space="1" w:color="000000"/>
        </w:pBdr>
        <w:bidi w:val="0"/>
        <w:spacing w:lineRule="atLeast" w:line="142"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TOC"/>
      <w:bookmarkStart w:id="24" w:name="_c820b905_3f0e_4840_845c_734de08d8666"/>
      <w:bookmarkEnd w:id="23"/>
      <w:bookmarkEnd w:id="24"/>
      <w:r>
        <w:rPr>
          <w:rFonts w:ascii="Times New Roman;Times;serif" w:hAnsi="Times New Roman;Times;serif"/>
          <w:b/>
          <w:sz w:val="20"/>
        </w:rPr>
        <w:t>VALMONT INDUSTRIES,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678"/>
        <w:gridCol w:w="8879"/>
        <w:gridCol w:w="286"/>
        <w:gridCol w:w="362"/>
      </w:tblGrid>
      <w:tr>
        <w:trPr/>
        <w:tc>
          <w:tcPr>
            <w:tcW w:w="678" w:type="dxa"/>
            <w:tcBorders/>
            <w:vAlign w:val="center"/>
          </w:tcPr>
          <w:p>
            <w:pPr>
              <w:pStyle w:val="TableContents"/>
              <w:bidi w:val="0"/>
              <w:spacing w:before="0" w:after="0"/>
              <w:ind w:left="0" w:right="0" w:hanging="0"/>
              <w:jc w:val="left"/>
              <w:rPr/>
            </w:pPr>
            <w:r>
              <w:rPr/>
              <w:t>​</w:t>
            </w:r>
          </w:p>
        </w:tc>
        <w:tc>
          <w:tcPr>
            <w:tcW w:w="8879"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362" w:type="dxa"/>
            <w:tcBorders/>
            <w:vAlign w:val="center"/>
          </w:tcPr>
          <w:p>
            <w:pPr>
              <w:pStyle w:val="TableContents"/>
              <w:bidi w:val="0"/>
              <w:spacing w:before="0" w:after="0"/>
              <w:ind w:left="0" w:right="0" w:hanging="0"/>
              <w:jc w:val="center"/>
              <w:rPr/>
            </w:pPr>
            <w:r>
              <w:rPr/>
              <w:t>​</w:t>
            </w:r>
          </w:p>
        </w:tc>
      </w:tr>
      <w:tr>
        <w:trPr/>
        <w:tc>
          <w:tcPr>
            <w:tcW w:w="678" w:type="dxa"/>
            <w:tcBorders/>
            <w:vAlign w:val="center"/>
          </w:tcPr>
          <w:p>
            <w:pPr>
              <w:pStyle w:val="TableContents"/>
              <w:bidi w:val="0"/>
              <w:spacing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PART I—FINANCIAL INFORMATION</w:t>
            </w:r>
          </w:p>
        </w:tc>
        <w:tc>
          <w:tcPr>
            <w:tcW w:w="28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78"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Item 1.</w:t>
              </w:r>
            </w:hyperlink>
          </w:p>
        </w:tc>
        <w:tc>
          <w:tcPr>
            <w:tcW w:w="8879"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Financial Statements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Condensed Consolidated Statements of Earnings for the thirteen weeks ended March 28, 2026 and March 29,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for the thirteen weeks ended March 28, 2026 and March 29,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CONDENSEDCONSOLIDATEDBALANCESHEETS">
              <w:r>
                <w:rPr>
                  <w:rStyle w:val="InternetLink"/>
                  <w:rFonts w:ascii="Times New Roman;Times;serif" w:hAnsi="Times New Roman;Times;serif"/>
                  <w:b w:val="false"/>
                  <w:i w:val="false"/>
                  <w:caps w:val="false"/>
                  <w:smallCaps w:val="false"/>
                  <w:sz w:val="20"/>
                </w:rPr>
                <w:t>Condensed Consolidated Balance Sheets as of March 28, 2026 and December 27,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thirteen weeks ended March 28, 2026 and March 29,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CONDENSEDCONSOLIDATEDSTATEMENTSOFSHAREHO">
              <w:r>
                <w:rPr>
                  <w:rStyle w:val="InternetLink"/>
                  <w:rFonts w:ascii="Times New Roman;Times;serif" w:hAnsi="Times New Roman;Times;serif"/>
                  <w:b w:val="false"/>
                  <w:i w:val="false"/>
                  <w:caps w:val="false"/>
                  <w:smallCaps w:val="false"/>
                  <w:sz w:val="20"/>
                </w:rPr>
                <w:t>Condensed Consolidated Statements of Shareholders’ Equity and Redeemable Noncontrolling Interests for the thirteen weeks ended March 28, 2026 and March 29,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hyperlink w:anchor="NOTESTOCONDENSEDCONSOLIT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78"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79"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678"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79"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78" w:type="dxa"/>
            <w:tcBorders/>
            <w:vAlign w:val="center"/>
          </w:tcPr>
          <w:p>
            <w:pPr>
              <w:pStyle w:val="TableContents"/>
              <w:bidi w:val="0"/>
              <w:spacing w:lineRule="auto" w:line="328"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8879" w:type="dxa"/>
            <w:tcBorders/>
            <w:vAlign w:val="center"/>
          </w:tcPr>
          <w:p>
            <w:pPr>
              <w:pStyle w:val="TableContents"/>
              <w:bidi w:val="0"/>
              <w:spacing w:lineRule="auto" w:line="328"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r>
              <w:rPr/>
              <w:t>​</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b/>
                <w:sz w:val="20"/>
              </w:rPr>
              <w:t>PART II</w:t>
            </w:r>
            <w:r>
              <w:rPr>
                <w:rFonts w:ascii="Times New Roman;Times;serif" w:hAnsi="Times New Roman;Times;serif"/>
                <w:sz w:val="20"/>
              </w:rPr>
              <w:t>—</w:t>
            </w:r>
            <w:r>
              <w:rPr>
                <w:rFonts w:ascii="Times New Roman;Times;serif" w:hAnsi="Times New Roman;Times;serif"/>
                <w:b/>
                <w:sz w:val="20"/>
              </w:rPr>
              <w:t>OTHER INFORMATION</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8" w:type="dxa"/>
            <w:tcBorders/>
            <w:vAlign w:val="center"/>
          </w:tcPr>
          <w:p>
            <w:pPr>
              <w:pStyle w:val="TableContents"/>
              <w:bidi w:val="0"/>
              <w:spacing w:lineRule="auto" w:line="328"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8879" w:type="dxa"/>
            <w:tcBorders/>
            <w:vAlign w:val="center"/>
          </w:tcPr>
          <w:p>
            <w:pPr>
              <w:pStyle w:val="TableContents"/>
              <w:bidi w:val="0"/>
              <w:spacing w:lineRule="auto" w:line="328"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8" w:type="dxa"/>
            <w:tcBorders/>
            <w:vAlign w:val="center"/>
          </w:tcPr>
          <w:p>
            <w:pPr>
              <w:pStyle w:val="TableContents"/>
              <w:bidi w:val="0"/>
              <w:spacing w:lineRule="auto" w:line="328"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8879" w:type="dxa"/>
            <w:tcBorders/>
            <w:vAlign w:val="center"/>
          </w:tcPr>
          <w:p>
            <w:pPr>
              <w:pStyle w:val="TableContents"/>
              <w:bidi w:val="0"/>
              <w:spacing w:lineRule="auto" w:line="328"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8"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79"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8" w:type="dxa"/>
            <w:tcBorders/>
            <w:vAlign w:val="center"/>
          </w:tcPr>
          <w:p>
            <w:pPr>
              <w:pStyle w:val="TableContents"/>
              <w:bidi w:val="0"/>
              <w:spacing w:lineRule="auto" w:line="328"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8879" w:type="dxa"/>
            <w:tcBorders/>
            <w:vAlign w:val="center"/>
          </w:tcPr>
          <w:p>
            <w:pPr>
              <w:pStyle w:val="TableContents"/>
              <w:bidi w:val="0"/>
              <w:spacing w:lineRule="auto" w:line="328"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8" w:type="dxa"/>
            <w:tcBorders/>
            <w:vAlign w:val="center"/>
          </w:tcPr>
          <w:p>
            <w:pPr>
              <w:pStyle w:val="TableContents"/>
              <w:bidi w:val="0"/>
              <w:spacing w:lineRule="auto" w:line="328"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w:t>
              </w:r>
            </w:hyperlink>
          </w:p>
        </w:tc>
        <w:tc>
          <w:tcPr>
            <w:tcW w:w="8879" w:type="dxa"/>
            <w:tcBorders/>
            <w:vAlign w:val="center"/>
          </w:tcPr>
          <w:p>
            <w:pPr>
              <w:pStyle w:val="TableContents"/>
              <w:bidi w:val="0"/>
              <w:spacing w:lineRule="auto" w:line="328"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Mine Safety Disclosures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8" w:type="dxa"/>
            <w:tcBorders/>
            <w:vAlign w:val="center"/>
          </w:tcPr>
          <w:p>
            <w:pPr>
              <w:pStyle w:val="TableContents"/>
              <w:bidi w:val="0"/>
              <w:spacing w:lineRule="auto" w:line="328"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879" w:type="dxa"/>
            <w:tcBorders/>
            <w:vAlign w:val="center"/>
          </w:tcPr>
          <w:p>
            <w:pPr>
              <w:pStyle w:val="TableContents"/>
              <w:bidi w:val="0"/>
              <w:spacing w:lineRule="auto" w:line="328"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78" w:type="dxa"/>
            <w:tcBorders/>
            <w:vAlign w:val="center"/>
          </w:tcPr>
          <w:p>
            <w:pPr>
              <w:pStyle w:val="TableContents"/>
              <w:bidi w:val="0"/>
              <w:spacing w:lineRule="auto" w:line="328"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8879" w:type="dxa"/>
            <w:tcBorders/>
            <w:vAlign w:val="center"/>
          </w:tcPr>
          <w:p>
            <w:pPr>
              <w:pStyle w:val="TableContents"/>
              <w:bidi w:val="0"/>
              <w:spacing w:lineRule="auto" w:line="328"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678" w:type="dxa"/>
            <w:tcBorders/>
            <w:vAlign w:val="center"/>
          </w:tcPr>
          <w:p>
            <w:pPr>
              <w:pStyle w:val="TableContents"/>
              <w:bidi w:val="0"/>
              <w:spacing w:lineRule="auto" w:line="328" w:before="0" w:after="0"/>
              <w:ind w:left="0" w:right="0" w:hanging="0"/>
              <w:jc w:val="left"/>
              <w:rPr/>
            </w:pPr>
            <w:r>
              <w:rPr/>
              <w:t>​</w:t>
            </w:r>
          </w:p>
        </w:tc>
        <w:tc>
          <w:tcPr>
            <w:tcW w:w="8879" w:type="dxa"/>
            <w:tcBorders/>
            <w:vAlign w:val="center"/>
          </w:tcPr>
          <w:p>
            <w:pPr>
              <w:pStyle w:val="TableContents"/>
              <w:bidi w:val="0"/>
              <w:spacing w:lineRule="auto" w:line="328" w:before="0" w:after="0"/>
              <w:ind w:left="0" w:right="0" w:hanging="0"/>
              <w:jc w:val="left"/>
              <w:rPr/>
            </w:pPr>
            <w:r>
              <w:rPr/>
              <w:t>​</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9557" w:type="dxa"/>
            <w:gridSpan w:val="2"/>
            <w:tcBorders/>
            <w:vAlign w:val="center"/>
          </w:tcPr>
          <w:p>
            <w:pPr>
              <w:pStyle w:val="TableContents"/>
              <w:bidi w:val="0"/>
              <w:spacing w:lineRule="auto" w:line="328"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 w:name="PARTIFINANCIALINFORMATION_642678"/>
      <w:bookmarkStart w:id="26" w:name="_93379863_169f_456d_a9db_1920962d4007"/>
      <w:bookmarkEnd w:id="25"/>
      <w:bookmarkEnd w:id="26"/>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40"/>
        <w:ind w:left="0" w:right="0" w:hanging="0"/>
        <w:jc w:val="center"/>
        <w:rPr>
          <w:rFonts w:ascii="Times New Roman;Times;serif" w:hAnsi="Times New Roman;Times;serif"/>
          <w:b/>
          <w:sz w:val="20"/>
        </w:rPr>
      </w:pPr>
      <w:bookmarkStart w:id="27" w:name="CONDENSEDCONSOLIDATEDSTATEMENTSOFEARNING"/>
      <w:bookmarkEnd w:id="27"/>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EARNINGS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8" w:name="Tc_F4F9s26aykCmtKkfXkUDaQ_31_0"/>
      <w:bookmarkStart w:id="29" w:name="Tc_atU0P7RW6Ei89RpuXf78zA_30_5"/>
      <w:bookmarkStart w:id="30" w:name="Tc_NmQfXU6mtkaP1Bp3kr3c-w_30_2"/>
      <w:bookmarkStart w:id="31" w:name="Tc_uXCP1Y3aEkux1BoyeZ1Piw_30_0"/>
      <w:bookmarkStart w:id="32" w:name="Tc_mkOwwbaLEkCVI3T_e2l-MA_29_0"/>
      <w:bookmarkStart w:id="33" w:name="Tc_4MeV-8KJxE-nfreFO32xhg_28_5"/>
      <w:bookmarkStart w:id="34" w:name="Tc_BwPi4GXVCU6BrSN012R5IQ_28_2"/>
      <w:bookmarkStart w:id="35" w:name="Tc_UcCqFbCykUim0kPbcQSvKw_28_0"/>
      <w:bookmarkStart w:id="36" w:name="Tc_CwAM-eXHBE-R7xiGaR3PwQ_27_0"/>
      <w:bookmarkStart w:id="37" w:name="Tc_5r_rKS9qhUKe1U2p5W88Og_26_0"/>
      <w:bookmarkStart w:id="38" w:name="Tc_2a62MahRHECyERKEwK6vQg_25_3"/>
      <w:bookmarkStart w:id="39" w:name="Tc_hlkdYzaje0-NW8aD9WiN_Q_25_0"/>
      <w:bookmarkStart w:id="40" w:name="Tc_Ltw47_1Y_k2eULDzJ4XeqA_24_0"/>
      <w:bookmarkStart w:id="41" w:name="Tc_a_XbwCoKP0STKAa0CwP56g_23_0"/>
      <w:bookmarkStart w:id="42" w:name="Tc_-s68HLqzw0uMl16nRuVn7Q_22_0"/>
      <w:bookmarkStart w:id="43" w:name="Tc_SAFx2q784UGFO0DeYlyFPA_21_0"/>
      <w:bookmarkStart w:id="44" w:name="Tc_r12_hvBaDkqYu_U9YeUqVw_20_0"/>
      <w:bookmarkStart w:id="45" w:name="Tc_blSHJO0yqk2maRlXwnC__g_19_0"/>
      <w:bookmarkStart w:id="46" w:name="Tc_AwjtkfZBhU6jk22IlW6zBg_18_0"/>
      <w:bookmarkStart w:id="47" w:name="Tc_nEqZQJ-5LEyUKbbCpbJBTA_17_0"/>
      <w:bookmarkStart w:id="48" w:name="Tc_KdPkx1aBrUCS9kWEvmv00A_16_0"/>
      <w:bookmarkStart w:id="49" w:name="Tc_YOyCenfdZEKV-aEo1Q9jKQ_15_0"/>
      <w:bookmarkStart w:id="50" w:name="Tc_ecqWu88Pmk6KNhgBqelbhQ_14_0"/>
      <w:bookmarkStart w:id="51" w:name="Tc_P48n--wpdkO_7cloT3payQ_13_0"/>
      <w:bookmarkStart w:id="52" w:name="Tc_XXkjYegCv0e09251oNfM2A_12_0"/>
      <w:bookmarkStart w:id="53" w:name="Tc_MCeOHoxjl0CqjQ6h4ue8Zw_11_0"/>
      <w:bookmarkStart w:id="54" w:name="Tc_x67vXaAOWEiI0X7limRqvQ_10_0"/>
      <w:bookmarkStart w:id="55" w:name="Tc_mNRfXaBTSkyS0SM9mGQJgw_9_0"/>
      <w:bookmarkStart w:id="56" w:name="Tc_kN0swV8Et0W_7F-C3HC3FQ_8_0"/>
      <w:bookmarkStart w:id="57" w:name="Tc_xZweWumhHkOyT30SoQC4mg_7_0"/>
      <w:bookmarkStart w:id="58" w:name="Tc_CkhPjiodnEacsbiP7olTGQ_6_0"/>
      <w:bookmarkStart w:id="59" w:name="Tc_CJbXZbip3kKfzeBOza1VQQ_5_0"/>
      <w:bookmarkStart w:id="60" w:name="Tc__I6477cC1UuQS9wI5gXMMg_4_5"/>
      <w:bookmarkStart w:id="61" w:name="Tc_DtM8MEugZUmZfqoWhNLDtw_4_2"/>
      <w:bookmarkStart w:id="62" w:name="Tc_I-T7gMWALkGTuH9sFKrHTQ_4_0"/>
      <w:bookmarkStart w:id="63" w:name="Tc_vzTrUXCpfk-P7JhXm10pMw_3_5"/>
      <w:bookmarkStart w:id="64" w:name="Tc_DDt3NrzipEWh6TnqwcyU-w_3_2"/>
      <w:bookmarkStart w:id="65" w:name="Tc_X0woqFeAm0-GQ-a0dQoLHQ_2_5"/>
      <w:bookmarkStart w:id="66" w:name="Tc_M5XyiS_QskWZkceg4G-GeA_2_2"/>
      <w:bookmarkStart w:id="67" w:name="Tc__Hto99dvAU-ZJFzNMmNiGg_1_2"/>
      <w:bookmarkStart w:id="68" w:name="_8aca283a_884a_498c_9142_840c84bd0b17"/>
      <w:bookmarkStart w:id="69" w:name="Tc_F4F9s26aykCmtKkfXkUDaQ_31_0"/>
      <w:bookmarkStart w:id="70" w:name="Tc_atU0P7RW6Ei89RpuXf78zA_30_5"/>
      <w:bookmarkStart w:id="71" w:name="Tc_NmQfXU6mtkaP1Bp3kr3c-w_30_2"/>
      <w:bookmarkStart w:id="72" w:name="Tc_uXCP1Y3aEkux1BoyeZ1Piw_30_0"/>
      <w:bookmarkStart w:id="73" w:name="Tc_mkOwwbaLEkCVI3T_e2l-MA_29_0"/>
      <w:bookmarkStart w:id="74" w:name="Tc_4MeV-8KJxE-nfreFO32xhg_28_5"/>
      <w:bookmarkStart w:id="75" w:name="Tc_BwPi4GXVCU6BrSN012R5IQ_28_2"/>
      <w:bookmarkStart w:id="76" w:name="Tc_UcCqFbCykUim0kPbcQSvKw_28_0"/>
      <w:bookmarkStart w:id="77" w:name="Tc_CwAM-eXHBE-R7xiGaR3PwQ_27_0"/>
      <w:bookmarkStart w:id="78" w:name="Tc_5r_rKS9qhUKe1U2p5W88Og_26_0"/>
      <w:bookmarkStart w:id="79" w:name="Tc_2a62MahRHECyERKEwK6vQg_25_3"/>
      <w:bookmarkStart w:id="80" w:name="Tc_hlkdYzaje0-NW8aD9WiN_Q_25_0"/>
      <w:bookmarkStart w:id="81" w:name="Tc_Ltw47_1Y_k2eULDzJ4XeqA_24_0"/>
      <w:bookmarkStart w:id="82" w:name="Tc_a_XbwCoKP0STKAa0CwP56g_23_0"/>
      <w:bookmarkStart w:id="83" w:name="Tc_-s68HLqzw0uMl16nRuVn7Q_22_0"/>
      <w:bookmarkStart w:id="84" w:name="Tc_SAFx2q784UGFO0DeYlyFPA_21_0"/>
      <w:bookmarkStart w:id="85" w:name="Tc_r12_hvBaDkqYu_U9YeUqVw_20_0"/>
      <w:bookmarkStart w:id="86" w:name="Tc_blSHJO0yqk2maRlXwnC__g_19_0"/>
      <w:bookmarkStart w:id="87" w:name="Tc_AwjtkfZBhU6jk22IlW6zBg_18_0"/>
      <w:bookmarkStart w:id="88" w:name="Tc_nEqZQJ-5LEyUKbbCpbJBTA_17_0"/>
      <w:bookmarkStart w:id="89" w:name="Tc_KdPkx1aBrUCS9kWEvmv00A_16_0"/>
      <w:bookmarkStart w:id="90" w:name="Tc_YOyCenfdZEKV-aEo1Q9jKQ_15_0"/>
      <w:bookmarkStart w:id="91" w:name="Tc_ecqWu88Pmk6KNhgBqelbhQ_14_0"/>
      <w:bookmarkStart w:id="92" w:name="Tc_P48n--wpdkO_7cloT3payQ_13_0"/>
      <w:bookmarkStart w:id="93" w:name="Tc_XXkjYegCv0e09251oNfM2A_12_0"/>
      <w:bookmarkStart w:id="94" w:name="Tc_MCeOHoxjl0CqjQ6h4ue8Zw_11_0"/>
      <w:bookmarkStart w:id="95" w:name="Tc_x67vXaAOWEiI0X7limRqvQ_10_0"/>
      <w:bookmarkStart w:id="96" w:name="Tc_mNRfXaBTSkyS0SM9mGQJgw_9_0"/>
      <w:bookmarkStart w:id="97" w:name="Tc_kN0swV8Et0W_7F-C3HC3FQ_8_0"/>
      <w:bookmarkStart w:id="98" w:name="Tc_xZweWumhHkOyT30SoQC4mg_7_0"/>
      <w:bookmarkStart w:id="99" w:name="Tc_CkhPjiodnEacsbiP7olTGQ_6_0"/>
      <w:bookmarkStart w:id="100" w:name="Tc_CJbXZbip3kKfzeBOza1VQQ_5_0"/>
      <w:bookmarkStart w:id="101" w:name="Tc__I6477cC1UuQS9wI5gXMMg_4_5"/>
      <w:bookmarkStart w:id="102" w:name="Tc_DtM8MEugZUmZfqoWhNLDtw_4_2"/>
      <w:bookmarkStart w:id="103" w:name="Tc_I-T7gMWALkGTuH9sFKrHTQ_4_0"/>
      <w:bookmarkStart w:id="104" w:name="Tc_vzTrUXCpfk-P7JhXm10pMw_3_5"/>
      <w:bookmarkStart w:id="105" w:name="Tc_DDt3NrzipEWh6TnqwcyU-w_3_2"/>
      <w:bookmarkStart w:id="106" w:name="Tc_X0woqFeAm0-GQ-a0dQoLHQ_2_5"/>
      <w:bookmarkStart w:id="107" w:name="Tc_M5XyiS_QskWZkceg4G-GeA_2_2"/>
      <w:bookmarkStart w:id="108" w:name="Tc__Hto99dvAU-ZJFzNMmNiGg_1_2"/>
      <w:bookmarkStart w:id="109" w:name="_8aca283a_884a_498c_9142_840c84bd0b17"/>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tbl>
      <w:tblPr>
        <w:tblW w:w="7135" w:type="dxa"/>
        <w:jc w:val="left"/>
        <w:tblInd w:w="0" w:type="dxa"/>
        <w:tblLayout w:type="fixed"/>
        <w:tblCellMar>
          <w:top w:w="0" w:type="dxa"/>
          <w:left w:w="0" w:type="dxa"/>
          <w:bottom w:w="0" w:type="dxa"/>
          <w:right w:w="0" w:type="dxa"/>
        </w:tblCellMar>
      </w:tblPr>
      <w:tblGrid>
        <w:gridCol w:w="4696"/>
        <w:gridCol w:w="109"/>
        <w:gridCol w:w="196"/>
        <w:gridCol w:w="826"/>
        <w:gridCol w:w="346"/>
        <w:gridCol w:w="196"/>
        <w:gridCol w:w="766"/>
      </w:tblGrid>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921,732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874,489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94,825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1,029,197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969,314</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655,519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621,043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cost of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57,169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712,319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678,212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316,878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291,102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161,252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162,788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128,314</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(10,115)</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deferred compensation investments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145,139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118,022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20,360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income tax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30,799</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equity method investment loss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87,223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86,663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attributable to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87,261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 per share: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110" w:name="CONDENSEDCONSOLIDATEDSTATEMENTSOFCOMPREH"/>
      <w:bookmarkStart w:id="111" w:name="_488c3e4d_245c_422c_8e82_502d472ab697"/>
      <w:bookmarkEnd w:id="110"/>
      <w:bookmarkEnd w:id="111"/>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12" w:name="Tc_ntHK_agEpUyg3_lbvrZSIg_18_5"/>
      <w:bookmarkStart w:id="113" w:name="Tc_PauxhwZOg0SIs7etVV6hxg_18_2"/>
      <w:bookmarkStart w:id="114" w:name="Tc_TxUXj1eThk-hSdxSmmgafQ_18_0"/>
      <w:bookmarkStart w:id="115" w:name="Tc_gyEs0zdfkkubblqY2rbU-g_17_0"/>
      <w:bookmarkStart w:id="116" w:name="Tc_qFWQWsQ0E0iOeHiQtkp58g_16_0"/>
      <w:bookmarkStart w:id="117" w:name="Tc_wCZtHX6-nk2xgAVfkMdTVA_15_0"/>
      <w:bookmarkStart w:id="118" w:name="Tc_1QJC3KH-TE2vU1U5UdE_fw_14_0"/>
      <w:bookmarkStart w:id="119" w:name="Tc_pO7bo1b8xk2ihXbh7tZuyQ_13_0"/>
      <w:bookmarkStart w:id="120" w:name="Tc_Uwj1_4FhHk2aAwZ4hwA6xw_12_0"/>
      <w:bookmarkStart w:id="121" w:name="Tc_VXhD7M8aWUisct-1MZn2AQ_11_0"/>
      <w:bookmarkStart w:id="122" w:name="Tc_Qlu-XdQ3YU2h09rzVDLX_w_10_0"/>
      <w:bookmarkStart w:id="123" w:name="Tc_CmwZkeP6R02csqzIGJmifg_9_0"/>
      <w:bookmarkStart w:id="124" w:name="Tc_CRsMpie6H0euelEyx93UfQ_8_0"/>
      <w:bookmarkStart w:id="125" w:name="Tc_IPVxVF8KD0ilMA9BJfklrA_7_0"/>
      <w:bookmarkStart w:id="126" w:name="Tc_k6Z-dRKocEiUmm9inurySw_6_0"/>
      <w:bookmarkStart w:id="127" w:name="Tc_ls-VcqEjHEePdDZvBg73Kg_5_0"/>
      <w:bookmarkStart w:id="128" w:name="Tc_g_ZMjP3zaUe4uQMAdYwfVg_4_5"/>
      <w:bookmarkStart w:id="129" w:name="Tc_oH-hzcQGoE2Ly0JS22oWDQ_4_2"/>
      <w:bookmarkStart w:id="130" w:name="Tc_oI9PvfaqFE-hrizc20w1DQ_4_0"/>
      <w:bookmarkStart w:id="131" w:name="Tc_oZfXR6jY5kekk1Xz_mgsAQ_3_5"/>
      <w:bookmarkStart w:id="132" w:name="Tc_0ol9BaDdqkCAXPOKNg3CQQ_3_2"/>
      <w:bookmarkStart w:id="133" w:name="Tc_MiOTCHpz_kSjub0ExShU6w_2_5"/>
      <w:bookmarkStart w:id="134" w:name="Tc_UGufFnpndEeEIdVsJ0FvcQ_2_2"/>
      <w:bookmarkStart w:id="135" w:name="Tc_xPKAJAjNAU2UM1-Kff9tIA_1_2"/>
      <w:bookmarkStart w:id="136" w:name="_213b7fdd_fe7e_452c_91bf_180f3b68b55a"/>
      <w:bookmarkStart w:id="137" w:name="Tc_ntHK_agEpUyg3_lbvrZSIg_18_5"/>
      <w:bookmarkStart w:id="138" w:name="Tc_PauxhwZOg0SIs7etVV6hxg_18_2"/>
      <w:bookmarkStart w:id="139" w:name="Tc_TxUXj1eThk-hSdxSmmgafQ_18_0"/>
      <w:bookmarkStart w:id="140" w:name="Tc_gyEs0zdfkkubblqY2rbU-g_17_0"/>
      <w:bookmarkStart w:id="141" w:name="Tc_qFWQWsQ0E0iOeHiQtkp58g_16_0"/>
      <w:bookmarkStart w:id="142" w:name="Tc_wCZtHX6-nk2xgAVfkMdTVA_15_0"/>
      <w:bookmarkStart w:id="143" w:name="Tc_1QJC3KH-TE2vU1U5UdE_fw_14_0"/>
      <w:bookmarkStart w:id="144" w:name="Tc_pO7bo1b8xk2ihXbh7tZuyQ_13_0"/>
      <w:bookmarkStart w:id="145" w:name="Tc_Uwj1_4FhHk2aAwZ4hwA6xw_12_0"/>
      <w:bookmarkStart w:id="146" w:name="Tc_VXhD7M8aWUisct-1MZn2AQ_11_0"/>
      <w:bookmarkStart w:id="147" w:name="Tc_Qlu-XdQ3YU2h09rzVDLX_w_10_0"/>
      <w:bookmarkStart w:id="148" w:name="Tc_CmwZkeP6R02csqzIGJmifg_9_0"/>
      <w:bookmarkStart w:id="149" w:name="Tc_CRsMpie6H0euelEyx93UfQ_8_0"/>
      <w:bookmarkStart w:id="150" w:name="Tc_IPVxVF8KD0ilMA9BJfklrA_7_0"/>
      <w:bookmarkStart w:id="151" w:name="Tc_k6Z-dRKocEiUmm9inurySw_6_0"/>
      <w:bookmarkStart w:id="152" w:name="Tc_ls-VcqEjHEePdDZvBg73Kg_5_0"/>
      <w:bookmarkStart w:id="153" w:name="Tc_g_ZMjP3zaUe4uQMAdYwfVg_4_5"/>
      <w:bookmarkStart w:id="154" w:name="Tc_oH-hzcQGoE2Ly0JS22oWDQ_4_2"/>
      <w:bookmarkStart w:id="155" w:name="Tc_oI9PvfaqFE-hrizc20w1DQ_4_0"/>
      <w:bookmarkStart w:id="156" w:name="Tc_oZfXR6jY5kekk1Xz_mgsAQ_3_5"/>
      <w:bookmarkStart w:id="157" w:name="Tc_0ol9BaDdqkCAXPOKNg3CQQ_3_2"/>
      <w:bookmarkStart w:id="158" w:name="Tc_MiOTCHpz_kSjub0ExShU6w_2_5"/>
      <w:bookmarkStart w:id="159" w:name="Tc_UGufFnpndEeEIdVsJ0FvcQ_2_2"/>
      <w:bookmarkStart w:id="160" w:name="Tc_xPKAJAjNAU2UM1-Kff9tIA_1_2"/>
      <w:bookmarkStart w:id="161" w:name="_213b7fdd_fe7e_452c_91bf_180f3b68b55a"/>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tbl>
      <w:tblPr>
        <w:tblW w:w="7450" w:type="dxa"/>
        <w:jc w:val="left"/>
        <w:tblInd w:w="0" w:type="dxa"/>
        <w:tblLayout w:type="fixed"/>
        <w:tblCellMar>
          <w:top w:w="0" w:type="dxa"/>
          <w:left w:w="0" w:type="dxa"/>
          <w:bottom w:w="0" w:type="dxa"/>
          <w:right w:w="0" w:type="dxa"/>
        </w:tblCellMar>
      </w:tblPr>
      <w:tblGrid>
        <w:gridCol w:w="5116"/>
        <w:gridCol w:w="109"/>
        <w:gridCol w:w="196"/>
        <w:gridCol w:w="691"/>
        <w:gridCol w:w="346"/>
        <w:gridCol w:w="196"/>
        <w:gridCol w:w="796"/>
      </w:tblGrid>
      <w:tr>
        <w:trPr/>
        <w:tc>
          <w:tcPr>
            <w:tcW w:w="5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5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5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86,663</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translation gain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on commodity hedges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loss (gain) on commodity hedges included in 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cross currency swaps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cost included in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hedging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adjustment for pension costs included in 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22,252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114,662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108,915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 attributable to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109,937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162" w:name="CONDENSEDCONSOLIDATEDBALANCESHEETS"/>
      <w:bookmarkStart w:id="163" w:name="_1e5cdc77_56bc_432e_90b7_fbda9afa6265"/>
      <w:bookmarkEnd w:id="162"/>
      <w:bookmarkEnd w:id="163"/>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par value)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64" w:name="Tc_3a04PGg7IU-tRz_Gdljl2Q_48_5"/>
      <w:bookmarkStart w:id="165" w:name="Tc_FHPSJqr2Ak2jjATMSQZROQ_48_2"/>
      <w:bookmarkStart w:id="166" w:name="Tc_xZWiUHgV60291cPYlXD1Lg_48_0"/>
      <w:bookmarkStart w:id="167" w:name="Tc_kPdpuQVhVEW8jj3lYXSllA_47_0"/>
      <w:bookmarkStart w:id="168" w:name="Tc_oE-xLoBWpE-qk9s6e2dh3g_46_0"/>
      <w:bookmarkStart w:id="169" w:name="Tc_RJgv5r0VxE-0liQxjbMFJQ_45_0"/>
      <w:bookmarkStart w:id="170" w:name="Tc_YMNjoVXOCUCQPCUkv_1ohA_44_0"/>
      <w:bookmarkStart w:id="171" w:name="Tc_CeYK0qA9rUm8nldv9lZoXA_43_0"/>
      <w:bookmarkStart w:id="172" w:name="Tc_hvuEuuhl3UuZy1pxlAtGUQ_42_0"/>
      <w:bookmarkStart w:id="173" w:name="Tc_tumkmaV8CkuSXkQoKOeQeg_41_0"/>
      <w:bookmarkStart w:id="174" w:name="Tc_lQhiM22UzEW9aNKMIskN4g_40_0"/>
      <w:bookmarkStart w:id="175" w:name="Tc_HBeTCJeG_EGkVAyvnMQCRw_39_0"/>
      <w:bookmarkStart w:id="176" w:name="Tc_NFg__Rpu20GybR_10PAzFw_38_0"/>
      <w:bookmarkStart w:id="177" w:name="Tc_9oJtzEm-uU6paqtdyMpSlw_37_0"/>
      <w:bookmarkStart w:id="178" w:name="Tc_R66pWMtpykOcPSnw8ILUCg_36_0"/>
      <w:bookmarkStart w:id="179" w:name="Tc_xBR21apVfk6LIdv1juPRHA_35_0"/>
      <w:bookmarkStart w:id="180" w:name="Tc_dz5U_90Ay0evuXN6ZhMbwQ_34_0"/>
      <w:bookmarkStart w:id="181" w:name="Tc_ROdaWgO1cU6FjoKg3HJFlA_33_0"/>
      <w:bookmarkStart w:id="182" w:name="Tc_s1Gtm3GAxEKRw0yoY9XDBA_32_0"/>
      <w:bookmarkStart w:id="183" w:name="Tc_ePPAS4jnf0GTvF2clrW0mg_31_0"/>
      <w:bookmarkStart w:id="184" w:name="Tc_q6xhGQSp_0ak4duh2lk1Eg_30_0"/>
      <w:bookmarkStart w:id="185" w:name="Tc_bgT2Lv3viU6dNX9bMP-thg_29_0"/>
      <w:bookmarkStart w:id="186" w:name="Tc_pO561TrijUuMcE0MBigMhw_28_0"/>
      <w:bookmarkStart w:id="187" w:name="Tc_GlJ9J_0R4UC_kk1uGqBRaw_27_3"/>
      <w:bookmarkStart w:id="188" w:name="Tc_iuiwj9CtnU-SfkNmusfNBg_27_0"/>
      <w:bookmarkStart w:id="189" w:name="Tc_MU3h8LD2wkSiSz1BLsHM9w_26_5"/>
      <w:bookmarkStart w:id="190" w:name="Tc_m7QInqDZrUi7hvWGUysvvg_26_3"/>
      <w:bookmarkStart w:id="191" w:name="Tc_74yTqykyVkKpsRQpn07KMA_26_2"/>
      <w:bookmarkStart w:id="192" w:name="Tc_jXlOc5LY-USLh7xEU592jg_26_0"/>
      <w:bookmarkStart w:id="193" w:name="Tc_4YbRLAqtZ0qGcAI9xZj2fg_25_0"/>
      <w:bookmarkStart w:id="194" w:name="Tc_00FUonYkWEC-ldD8rG_c8A_24_0"/>
      <w:bookmarkStart w:id="195" w:name="Tc_3VHCgTTbGE-UZtjaaKuWLw_22_5"/>
      <w:bookmarkStart w:id="196" w:name="Tc_clvD-yc850OHjA40Fc7c3g_22_2"/>
      <w:bookmarkStart w:id="197" w:name="Tc_qLgjXZY9zk-tqvQWIRjngg_22_0"/>
      <w:bookmarkStart w:id="198" w:name="Tc_8M_Fo3iGQESGHkUZi6sg2A_21_0"/>
      <w:bookmarkStart w:id="199" w:name="Tc_u1jJ4QZ1-k28OJtfbPowpg_20_0"/>
      <w:bookmarkStart w:id="200" w:name="Tc_zhuWnzwbJk65-cD09TZ9xQ_19_0"/>
      <w:bookmarkStart w:id="201" w:name="Tc_onPnrshw_kmrPOa9KjF4zA_18_0"/>
      <w:bookmarkStart w:id="202" w:name="Tc_Iu_ecAeBsESGwIM7Cel4eA_17_0"/>
      <w:bookmarkStart w:id="203" w:name="Tc_2Y6r62HkykintI32MxgpfQ_16_0"/>
      <w:bookmarkStart w:id="204" w:name="Tc_Hocfc7SdUEG7-Wd0ws15gQ_15_0"/>
      <w:bookmarkStart w:id="205" w:name="Tc_CFwyOpfBs0OJxd0lk7LH0A_14_0"/>
      <w:bookmarkStart w:id="206" w:name="Tc_ksxG-h7W5ke8V51CvC3wzQ_13_0"/>
      <w:bookmarkStart w:id="207" w:name="Tc_ZpQhUAiGx0W-NQqzOrUwlw_12_0"/>
      <w:bookmarkStart w:id="208" w:name="Tc_ALcKu5FfkE-DiDphXRVPVA_11_0"/>
      <w:bookmarkStart w:id="209" w:name="Tc_D1qDmlwm-0KJYr1bGpXprw_10_0"/>
      <w:bookmarkStart w:id="210" w:name="Tc_baU6r3vP70GJLWubnlvnLw_9_0"/>
      <w:bookmarkStart w:id="211" w:name="Tc_2wluS4egc0-nPxu1VeROTw_8_0"/>
      <w:bookmarkStart w:id="212" w:name="Tc_mmSrz19DgkqeTX9BPoRfwQ_7_0"/>
      <w:bookmarkStart w:id="213" w:name="Tc_2xXYwG3_skmQaQecPXFH8A_6_0"/>
      <w:bookmarkStart w:id="214" w:name="Tc_yXpCq6fRLUWRg8xsHlC2PQ_5_5"/>
      <w:bookmarkStart w:id="215" w:name="Tc_gB4gNm6CV0qEWKzOhQ-RAA_5_2"/>
      <w:bookmarkStart w:id="216" w:name="Tc_ZImQdaLE0ECh4Iw6z-9iNQ_5_0"/>
      <w:bookmarkStart w:id="217" w:name="Tc_tId3QrG9aEqUkfS8rAg_Aw_4_0"/>
      <w:bookmarkStart w:id="218" w:name="Tc_Pj1kwjZF70qMLpsGlA9VBA_3_0"/>
      <w:bookmarkStart w:id="219" w:name="Tc_qT1B2zmBTkKHkzT5nq5A3Q_2_5"/>
      <w:bookmarkStart w:id="220" w:name="Tc_MkjrELI5z0SA86O-Tk3yjw_2_2"/>
      <w:bookmarkStart w:id="221" w:name="Tc_jkinyOwEKk2tqk_y8GNz_Q_1_5"/>
      <w:bookmarkStart w:id="222" w:name="Tc_XGGjDR6MF0O3I9KwppSS1Q_1_2"/>
      <w:bookmarkStart w:id="223" w:name="_93406b59_0a57_4a58_947f_423d719652e9"/>
      <w:bookmarkStart w:id="224" w:name="Tc_3a04PGg7IU-tRz_Gdljl2Q_48_5"/>
      <w:bookmarkStart w:id="225" w:name="Tc_FHPSJqr2Ak2jjATMSQZROQ_48_2"/>
      <w:bookmarkStart w:id="226" w:name="Tc_xZWiUHgV60291cPYlXD1Lg_48_0"/>
      <w:bookmarkStart w:id="227" w:name="Tc_kPdpuQVhVEW8jj3lYXSllA_47_0"/>
      <w:bookmarkStart w:id="228" w:name="Tc_oE-xLoBWpE-qk9s6e2dh3g_46_0"/>
      <w:bookmarkStart w:id="229" w:name="Tc_RJgv5r0VxE-0liQxjbMFJQ_45_0"/>
      <w:bookmarkStart w:id="230" w:name="Tc_YMNjoVXOCUCQPCUkv_1ohA_44_0"/>
      <w:bookmarkStart w:id="231" w:name="Tc_CeYK0qA9rUm8nldv9lZoXA_43_0"/>
      <w:bookmarkStart w:id="232" w:name="Tc_hvuEuuhl3UuZy1pxlAtGUQ_42_0"/>
      <w:bookmarkStart w:id="233" w:name="Tc_tumkmaV8CkuSXkQoKOeQeg_41_0"/>
      <w:bookmarkStart w:id="234" w:name="Tc_lQhiM22UzEW9aNKMIskN4g_40_0"/>
      <w:bookmarkStart w:id="235" w:name="Tc_HBeTCJeG_EGkVAyvnMQCRw_39_0"/>
      <w:bookmarkStart w:id="236" w:name="Tc_NFg__Rpu20GybR_10PAzFw_38_0"/>
      <w:bookmarkStart w:id="237" w:name="Tc_9oJtzEm-uU6paqtdyMpSlw_37_0"/>
      <w:bookmarkStart w:id="238" w:name="Tc_R66pWMtpykOcPSnw8ILUCg_36_0"/>
      <w:bookmarkStart w:id="239" w:name="Tc_xBR21apVfk6LIdv1juPRHA_35_0"/>
      <w:bookmarkStart w:id="240" w:name="Tc_dz5U_90Ay0evuXN6ZhMbwQ_34_0"/>
      <w:bookmarkStart w:id="241" w:name="Tc_ROdaWgO1cU6FjoKg3HJFlA_33_0"/>
      <w:bookmarkStart w:id="242" w:name="Tc_s1Gtm3GAxEKRw0yoY9XDBA_32_0"/>
      <w:bookmarkStart w:id="243" w:name="Tc_ePPAS4jnf0GTvF2clrW0mg_31_0"/>
      <w:bookmarkStart w:id="244" w:name="Tc_q6xhGQSp_0ak4duh2lk1Eg_30_0"/>
      <w:bookmarkStart w:id="245" w:name="Tc_bgT2Lv3viU6dNX9bMP-thg_29_0"/>
      <w:bookmarkStart w:id="246" w:name="Tc_pO561TrijUuMcE0MBigMhw_28_0"/>
      <w:bookmarkStart w:id="247" w:name="Tc_GlJ9J_0R4UC_kk1uGqBRaw_27_3"/>
      <w:bookmarkStart w:id="248" w:name="Tc_iuiwj9CtnU-SfkNmusfNBg_27_0"/>
      <w:bookmarkStart w:id="249" w:name="Tc_MU3h8LD2wkSiSz1BLsHM9w_26_5"/>
      <w:bookmarkStart w:id="250" w:name="Tc_m7QInqDZrUi7hvWGUysvvg_26_3"/>
      <w:bookmarkStart w:id="251" w:name="Tc_74yTqykyVkKpsRQpn07KMA_26_2"/>
      <w:bookmarkStart w:id="252" w:name="Tc_jXlOc5LY-USLh7xEU592jg_26_0"/>
      <w:bookmarkStart w:id="253" w:name="Tc_4YbRLAqtZ0qGcAI9xZj2fg_25_0"/>
      <w:bookmarkStart w:id="254" w:name="Tc_00FUonYkWEC-ldD8rG_c8A_24_0"/>
      <w:bookmarkStart w:id="255" w:name="Tc_3VHCgTTbGE-UZtjaaKuWLw_22_5"/>
      <w:bookmarkStart w:id="256" w:name="Tc_clvD-yc850OHjA40Fc7c3g_22_2"/>
      <w:bookmarkStart w:id="257" w:name="Tc_qLgjXZY9zk-tqvQWIRjngg_22_0"/>
      <w:bookmarkStart w:id="258" w:name="Tc_8M_Fo3iGQESGHkUZi6sg2A_21_0"/>
      <w:bookmarkStart w:id="259" w:name="Tc_u1jJ4QZ1-k28OJtfbPowpg_20_0"/>
      <w:bookmarkStart w:id="260" w:name="Tc_zhuWnzwbJk65-cD09TZ9xQ_19_0"/>
      <w:bookmarkStart w:id="261" w:name="Tc_onPnrshw_kmrPOa9KjF4zA_18_0"/>
      <w:bookmarkStart w:id="262" w:name="Tc_Iu_ecAeBsESGwIM7Cel4eA_17_0"/>
      <w:bookmarkStart w:id="263" w:name="Tc_2Y6r62HkykintI32MxgpfQ_16_0"/>
      <w:bookmarkStart w:id="264" w:name="Tc_Hocfc7SdUEG7-Wd0ws15gQ_15_0"/>
      <w:bookmarkStart w:id="265" w:name="Tc_CFwyOpfBs0OJxd0lk7LH0A_14_0"/>
      <w:bookmarkStart w:id="266" w:name="Tc_ksxG-h7W5ke8V51CvC3wzQ_13_0"/>
      <w:bookmarkStart w:id="267" w:name="Tc_ZpQhUAiGx0W-NQqzOrUwlw_12_0"/>
      <w:bookmarkStart w:id="268" w:name="Tc_ALcKu5FfkE-DiDphXRVPVA_11_0"/>
      <w:bookmarkStart w:id="269" w:name="Tc_D1qDmlwm-0KJYr1bGpXprw_10_0"/>
      <w:bookmarkStart w:id="270" w:name="Tc_baU6r3vP70GJLWubnlvnLw_9_0"/>
      <w:bookmarkStart w:id="271" w:name="Tc_2wluS4egc0-nPxu1VeROTw_8_0"/>
      <w:bookmarkStart w:id="272" w:name="Tc_mmSrz19DgkqeTX9BPoRfwQ_7_0"/>
      <w:bookmarkStart w:id="273" w:name="Tc_2xXYwG3_skmQaQecPXFH8A_6_0"/>
      <w:bookmarkStart w:id="274" w:name="Tc_yXpCq6fRLUWRg8xsHlC2PQ_5_5"/>
      <w:bookmarkStart w:id="275" w:name="Tc_gB4gNm6CV0qEWKzOhQ-RAA_5_2"/>
      <w:bookmarkStart w:id="276" w:name="Tc_ZImQdaLE0ECh4Iw6z-9iNQ_5_0"/>
      <w:bookmarkStart w:id="277" w:name="Tc_tId3QrG9aEqUkfS8rAg_Aw_4_0"/>
      <w:bookmarkStart w:id="278" w:name="Tc_Pj1kwjZF70qMLpsGlA9VBA_3_0"/>
      <w:bookmarkStart w:id="279" w:name="Tc_qT1B2zmBTkKHkzT5nq5A3Q_2_5"/>
      <w:bookmarkStart w:id="280" w:name="Tc_MkjrELI5z0SA86O-Tk3yjw_2_2"/>
      <w:bookmarkStart w:id="281" w:name="Tc_jkinyOwEKk2tqk_y8GNz_Q_1_5"/>
      <w:bookmarkStart w:id="282" w:name="Tc_XGGjDR6MF0O3I9KwppSS1Q_1_2"/>
      <w:bookmarkStart w:id="283" w:name="_93406b59_0a57_4a58_947f_423d719652e9"/>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9397" w:type="dxa"/>
        <w:jc w:val="left"/>
        <w:tblInd w:w="0" w:type="dxa"/>
        <w:tblLayout w:type="fixed"/>
        <w:tblCellMar>
          <w:top w:w="0" w:type="dxa"/>
          <w:left w:w="0" w:type="dxa"/>
          <w:bottom w:w="0" w:type="dxa"/>
          <w:right w:w="0" w:type="dxa"/>
        </w:tblCellMar>
      </w:tblPr>
      <w:tblGrid>
        <w:gridCol w:w="6376"/>
        <w:gridCol w:w="346"/>
        <w:gridCol w:w="196"/>
        <w:gridCol w:w="946"/>
        <w:gridCol w:w="346"/>
        <w:gridCol w:w="196"/>
        <w:gridCol w:w="991"/>
      </w:tblGrid>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less allowance of $56,399 and $54,991,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652,749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590,127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587,715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566,396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250,411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266,922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70,698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1,771,995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1,719,648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at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1,639,712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1,640,608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(953,760)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(966,745)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685,952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673,863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586,730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570,954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119,763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121,341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Defined benefit pension asset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139,857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deferred tax asset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57,751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42424"/>
                <w:sz w:val="18"/>
              </w:rPr>
            </w:pPr>
            <w:r>
              <w:rPr>
                <w:rFonts w:ascii="Times New Roman;Times;serif" w:hAnsi="Times New Roman;Times;serif"/>
                <w:color w:val="242424"/>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3,435,165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3,369,329</w:t>
            </w:r>
          </w:p>
        </w:tc>
      </w:tr>
      <w:tr>
        <w:trPr/>
        <w:tc>
          <w:tcPr>
            <w:tcW w:w="6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NONCONTROLLING INTERESTS,</w:t>
              <w:br/>
              <w:t>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installments of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374,208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359,539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employee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93,717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128,155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Contract liabilities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156,596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745,860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731,620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790,292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35,320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1,746,582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1,727,044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of $1 par value, authorized 75,000,000 shares; issued 27,900,000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3,244,024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3,156,235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(283,689)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(290,515)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(1,308,953)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(1,260,833)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1,679,282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1,632,787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3,435,165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284" w:name="CONDENSEDCONSOLIDATEDSTATEMENTSOFCASHFLO"/>
      <w:bookmarkStart w:id="285" w:name="_5b79a5e1_1015_4cd6_8adb_030b21ed37d8"/>
      <w:bookmarkEnd w:id="284"/>
      <w:bookmarkEnd w:id="285"/>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86" w:name="Tc_IRuwZZTfNUeffkh43ggPlQ_52_0"/>
      <w:bookmarkStart w:id="287" w:name="Tc_96r5QcKJDUurxOp_Z3FEcg_51_5"/>
      <w:bookmarkStart w:id="288" w:name="Tc_ZJjXTzCamk-2_K_hB6XI1g_51_2"/>
      <w:bookmarkStart w:id="289" w:name="Tc_7oqCVnIPpE-i5eGPgRsu3w_51_0"/>
      <w:bookmarkStart w:id="290" w:name="Tc_Pk8T1LUr_0-t-QT_71TjVQ_50_0"/>
      <w:bookmarkStart w:id="291" w:name="Tc_CWVDqf1Um0eMoUE8nnI2LA_48_5"/>
      <w:bookmarkStart w:id="292" w:name="Tc_EMB23QUDiE-yHqWIxuLzSA_48_2"/>
      <w:bookmarkStart w:id="293" w:name="Tc_QHfhwi20WkGNNsOuLiD0Wg_48_0"/>
      <w:bookmarkStart w:id="294" w:name="Tc_uRp8gK3Dc0mNcu8uT9rZRA_47_0"/>
      <w:bookmarkStart w:id="295" w:name="Tc_xTzEGqCPzk-BLc7oQV_Bmg_46_0"/>
      <w:bookmarkStart w:id="296" w:name="Tc_qPDcVQj5FEGg_IG16Mvm6g_45_0"/>
      <w:bookmarkStart w:id="297" w:name="Tc_MbVpV-DBBkOmP92u8SCg9g_44_0"/>
      <w:bookmarkStart w:id="298" w:name="Tc_kpQWG2Vx6UKJRTz_XfTCKQ_43_3"/>
      <w:bookmarkStart w:id="299" w:name="Tc_xEgh31dxwEeWf7lfN5OnRw_43_0"/>
      <w:bookmarkStart w:id="300" w:name="Tc_d0lULhl5BEGuXAhTNb9EOA_42_0"/>
      <w:bookmarkStart w:id="301" w:name="Tc_lZPoUhpeDk6kG9h3X4pC8g_41_0"/>
      <w:bookmarkStart w:id="302" w:name="Tc_s-KkOKZZPkqc_xGZ-3HL4A_40_6"/>
      <w:bookmarkStart w:id="303" w:name="Tc_MIcYe0UnpkyZ6wS-XXG8UQ_40_0"/>
      <w:bookmarkStart w:id="304" w:name="Tc_gRomHrEwlkyW6jKlEUZQCw_39_6"/>
      <w:bookmarkStart w:id="305" w:name="Tc_PJgN1owx_EeILskONgAvNA_39_0"/>
      <w:bookmarkStart w:id="306" w:name="Tc_0iCRAaZKwky6hXiFzkoPnQ_38_3"/>
      <w:bookmarkStart w:id="307" w:name="Tc_U61eRjcFQUiW-3NYi49bhA_38_0"/>
      <w:bookmarkStart w:id="308" w:name="Tc_Ewi1_IiPP0assF8mDVU3Gg_37_0"/>
      <w:bookmarkStart w:id="309" w:name="Tc_iGM9LAcl_kWALQAWzHX0qw_36_0"/>
      <w:bookmarkStart w:id="310" w:name="Tc_TLDlBSEaWUiSp17vY-aEaQ_35_0"/>
      <w:bookmarkStart w:id="311" w:name="Tc_fog9Jm7VRkuqIajQOlGN2w_34_3"/>
      <w:bookmarkStart w:id="312" w:name="Tc_JC61Nqu5D0G_i07fsYZgYw_34_0"/>
      <w:bookmarkStart w:id="313" w:name="Tc_4Kn8y8k_M0qr-V3GQGgixQ_33_3"/>
      <w:bookmarkStart w:id="314" w:name="Tc_TeMXvbLsCE-GOiiw-3Qpiw_33_0"/>
      <w:bookmarkStart w:id="315" w:name="Tc_vn0yAna1AUmJRg3bd9V0Rg_32_0"/>
      <w:bookmarkStart w:id="316" w:name="Tc_AQiAOWx4IEWZeva0pxqs8Q_31_0"/>
      <w:bookmarkStart w:id="317" w:name="Tc_t5PMkauXtkW4s9ZqLc_GxQ_30_0"/>
      <w:bookmarkStart w:id="318" w:name="Tc_dSRVNXxeF0ugQxzNc1zruQ_29_6"/>
      <w:bookmarkStart w:id="319" w:name="Tc_b8XRR9ObhUW42bPNQQFNoA_29_0"/>
      <w:bookmarkStart w:id="320" w:name="Tc_Ijz9YlrpkUS5FFgyLZUz8A_28_0"/>
      <w:bookmarkStart w:id="321" w:name="Tc_8dFon_1P2ECEQCYF9KuU2Q_27_6"/>
      <w:bookmarkStart w:id="322" w:name="Tc_ZJfmUaRQq02zOtBzJUbefg_27_0"/>
      <w:bookmarkStart w:id="323" w:name="Tc_0xstHF5ujESrS1SOEIu5uA_26_0"/>
      <w:bookmarkStart w:id="324" w:name="Tc_eM0xrZWrpUyhNdlkH4uz6g_25_0"/>
      <w:bookmarkStart w:id="325" w:name="Tc_kHxkEnm9-k2Ym5n_lssxIg_24_0"/>
      <w:bookmarkStart w:id="326" w:name="Tc_APgNSHWUokG1MAyYmY98Iw_23_0"/>
      <w:bookmarkStart w:id="327" w:name="Tc_4Pdk-bYE7UCaspBAUHZwhg_22_0"/>
      <w:bookmarkStart w:id="328" w:name="Tc_30hKnnQhh0-YeVoKbkrwOA_21_0"/>
      <w:bookmarkStart w:id="329" w:name="Tc_4XsXg9AGokaYWz4MPWm5Lg_20_0"/>
      <w:bookmarkStart w:id="330" w:name="Tc_MNzoCotbB0uGTxpev5Pyxw_19_0"/>
      <w:bookmarkStart w:id="331" w:name="Tc_j7bg3mZ8JU6PWQKgd-muHg_18_0"/>
      <w:bookmarkStart w:id="332" w:name="Tc_ZTz18na8gU6kZ7kLCX1ZRg_17_0"/>
      <w:bookmarkStart w:id="333" w:name="Tc_ZGECQFpIPkKwwj4wPK0ibQ_16_0"/>
      <w:bookmarkStart w:id="334" w:name="Tc_vuhs_OnvQ06ntM7-94Qlcw_15_0"/>
      <w:bookmarkStart w:id="335" w:name="Tc_Xe7R2PQ2aEOgayYiJieD4w_14_0"/>
      <w:bookmarkStart w:id="336" w:name="Tc_QsQHRNd4Q0GjVLstiZe_dQ_13_0"/>
      <w:bookmarkStart w:id="337" w:name="Tc_Cpg7ytAEf0O6PnJpzK6fYQ_12_0"/>
      <w:bookmarkStart w:id="338" w:name="Tc_URhX2MNO90iWgkkpEw3Yzw_11_0"/>
      <w:bookmarkStart w:id="339" w:name="Tc_RvS8IdhS-U-2F9n1WIPZDw_10_0"/>
      <w:bookmarkStart w:id="340" w:name="Tc_bL2O2CBFeECHgb44IqQVfA_9_0"/>
      <w:bookmarkStart w:id="341" w:name="Tc_EbTJ8cpbcE2QPyrnoTvAeA_8_0"/>
      <w:bookmarkStart w:id="342" w:name="Tc_f2c1CkxPnUyk7frUIeck3w_7_0"/>
      <w:bookmarkStart w:id="343" w:name="Tc_qTw-cBSiy0m64sHaEnkppQ_6_0"/>
      <w:bookmarkStart w:id="344" w:name="Tc_MB4HG2htkUumuMe4pYsmsA_5_5"/>
      <w:bookmarkStart w:id="345" w:name="Tc_eXLw3FT-v0y0zOk3FQX2kQ_5_2"/>
      <w:bookmarkStart w:id="346" w:name="Tc_ri_BaxZ40UG0zonQbqbEVg_5_0"/>
      <w:bookmarkStart w:id="347" w:name="Tc_9X7jySXv1kaKPVf71KFiEQ_4_0"/>
      <w:bookmarkStart w:id="348" w:name="Tc_dIc7JAVO2kSOdNnBFT5A3w_3_5"/>
      <w:bookmarkStart w:id="349" w:name="Tc_IW_ZC0NLTk29b00W3FZrbw_3_2"/>
      <w:bookmarkStart w:id="350" w:name="Tc_Yh7xpZs4WUKTNkHk_ITntw_2_5"/>
      <w:bookmarkStart w:id="351" w:name="Tc_C1I_8hwEiU617gyTVKxBBQ_2_2"/>
      <w:bookmarkStart w:id="352" w:name="Tc_D5V7D1EihUKoY1l2gOv1gA_1_2"/>
      <w:bookmarkStart w:id="353" w:name="_f24a8da5_df71_41a6_a319_4fb1945efbc5"/>
      <w:bookmarkStart w:id="354" w:name="Tc_IRuwZZTfNUeffkh43ggPlQ_52_0"/>
      <w:bookmarkStart w:id="355" w:name="Tc_96r5QcKJDUurxOp_Z3FEcg_51_5"/>
      <w:bookmarkStart w:id="356" w:name="Tc_ZJjXTzCamk-2_K_hB6XI1g_51_2"/>
      <w:bookmarkStart w:id="357" w:name="Tc_7oqCVnIPpE-i5eGPgRsu3w_51_0"/>
      <w:bookmarkStart w:id="358" w:name="Tc_Pk8T1LUr_0-t-QT_71TjVQ_50_0"/>
      <w:bookmarkStart w:id="359" w:name="Tc_CWVDqf1Um0eMoUE8nnI2LA_48_5"/>
      <w:bookmarkStart w:id="360" w:name="Tc_EMB23QUDiE-yHqWIxuLzSA_48_2"/>
      <w:bookmarkStart w:id="361" w:name="Tc_QHfhwi20WkGNNsOuLiD0Wg_48_0"/>
      <w:bookmarkStart w:id="362" w:name="Tc_uRp8gK3Dc0mNcu8uT9rZRA_47_0"/>
      <w:bookmarkStart w:id="363" w:name="Tc_xTzEGqCPzk-BLc7oQV_Bmg_46_0"/>
      <w:bookmarkStart w:id="364" w:name="Tc_qPDcVQj5FEGg_IG16Mvm6g_45_0"/>
      <w:bookmarkStart w:id="365" w:name="Tc_MbVpV-DBBkOmP92u8SCg9g_44_0"/>
      <w:bookmarkStart w:id="366" w:name="Tc_kpQWG2Vx6UKJRTz_XfTCKQ_43_3"/>
      <w:bookmarkStart w:id="367" w:name="Tc_xEgh31dxwEeWf7lfN5OnRw_43_0"/>
      <w:bookmarkStart w:id="368" w:name="Tc_d0lULhl5BEGuXAhTNb9EOA_42_0"/>
      <w:bookmarkStart w:id="369" w:name="Tc_lZPoUhpeDk6kG9h3X4pC8g_41_0"/>
      <w:bookmarkStart w:id="370" w:name="Tc_s-KkOKZZPkqc_xGZ-3HL4A_40_6"/>
      <w:bookmarkStart w:id="371" w:name="Tc_MIcYe0UnpkyZ6wS-XXG8UQ_40_0"/>
      <w:bookmarkStart w:id="372" w:name="Tc_gRomHrEwlkyW6jKlEUZQCw_39_6"/>
      <w:bookmarkStart w:id="373" w:name="Tc_PJgN1owx_EeILskONgAvNA_39_0"/>
      <w:bookmarkStart w:id="374" w:name="Tc_0iCRAaZKwky6hXiFzkoPnQ_38_3"/>
      <w:bookmarkStart w:id="375" w:name="Tc_U61eRjcFQUiW-3NYi49bhA_38_0"/>
      <w:bookmarkStart w:id="376" w:name="Tc_Ewi1_IiPP0assF8mDVU3Gg_37_0"/>
      <w:bookmarkStart w:id="377" w:name="Tc_iGM9LAcl_kWALQAWzHX0qw_36_0"/>
      <w:bookmarkStart w:id="378" w:name="Tc_TLDlBSEaWUiSp17vY-aEaQ_35_0"/>
      <w:bookmarkStart w:id="379" w:name="Tc_fog9Jm7VRkuqIajQOlGN2w_34_3"/>
      <w:bookmarkStart w:id="380" w:name="Tc_JC61Nqu5D0G_i07fsYZgYw_34_0"/>
      <w:bookmarkStart w:id="381" w:name="Tc_4Kn8y8k_M0qr-V3GQGgixQ_33_3"/>
      <w:bookmarkStart w:id="382" w:name="Tc_TeMXvbLsCE-GOiiw-3Qpiw_33_0"/>
      <w:bookmarkStart w:id="383" w:name="Tc_vn0yAna1AUmJRg3bd9V0Rg_32_0"/>
      <w:bookmarkStart w:id="384" w:name="Tc_AQiAOWx4IEWZeva0pxqs8Q_31_0"/>
      <w:bookmarkStart w:id="385" w:name="Tc_t5PMkauXtkW4s9ZqLc_GxQ_30_0"/>
      <w:bookmarkStart w:id="386" w:name="Tc_dSRVNXxeF0ugQxzNc1zruQ_29_6"/>
      <w:bookmarkStart w:id="387" w:name="Tc_b8XRR9ObhUW42bPNQQFNoA_29_0"/>
      <w:bookmarkStart w:id="388" w:name="Tc_Ijz9YlrpkUS5FFgyLZUz8A_28_0"/>
      <w:bookmarkStart w:id="389" w:name="Tc_8dFon_1P2ECEQCYF9KuU2Q_27_6"/>
      <w:bookmarkStart w:id="390" w:name="Tc_ZJfmUaRQq02zOtBzJUbefg_27_0"/>
      <w:bookmarkStart w:id="391" w:name="Tc_0xstHF5ujESrS1SOEIu5uA_26_0"/>
      <w:bookmarkStart w:id="392" w:name="Tc_eM0xrZWrpUyhNdlkH4uz6g_25_0"/>
      <w:bookmarkStart w:id="393" w:name="Tc_kHxkEnm9-k2Ym5n_lssxIg_24_0"/>
      <w:bookmarkStart w:id="394" w:name="Tc_APgNSHWUokG1MAyYmY98Iw_23_0"/>
      <w:bookmarkStart w:id="395" w:name="Tc_4Pdk-bYE7UCaspBAUHZwhg_22_0"/>
      <w:bookmarkStart w:id="396" w:name="Tc_30hKnnQhh0-YeVoKbkrwOA_21_0"/>
      <w:bookmarkStart w:id="397" w:name="Tc_4XsXg9AGokaYWz4MPWm5Lg_20_0"/>
      <w:bookmarkStart w:id="398" w:name="Tc_MNzoCotbB0uGTxpev5Pyxw_19_0"/>
      <w:bookmarkStart w:id="399" w:name="Tc_j7bg3mZ8JU6PWQKgd-muHg_18_0"/>
      <w:bookmarkStart w:id="400" w:name="Tc_ZTz18na8gU6kZ7kLCX1ZRg_17_0"/>
      <w:bookmarkStart w:id="401" w:name="Tc_ZGECQFpIPkKwwj4wPK0ibQ_16_0"/>
      <w:bookmarkStart w:id="402" w:name="Tc_vuhs_OnvQ06ntM7-94Qlcw_15_0"/>
      <w:bookmarkStart w:id="403" w:name="Tc_Xe7R2PQ2aEOgayYiJieD4w_14_0"/>
      <w:bookmarkStart w:id="404" w:name="Tc_QsQHRNd4Q0GjVLstiZe_dQ_13_0"/>
      <w:bookmarkStart w:id="405" w:name="Tc_Cpg7ytAEf0O6PnJpzK6fYQ_12_0"/>
      <w:bookmarkStart w:id="406" w:name="Tc_URhX2MNO90iWgkkpEw3Yzw_11_0"/>
      <w:bookmarkStart w:id="407" w:name="Tc_RvS8IdhS-U-2F9n1WIPZDw_10_0"/>
      <w:bookmarkStart w:id="408" w:name="Tc_bL2O2CBFeECHgb44IqQVfA_9_0"/>
      <w:bookmarkStart w:id="409" w:name="Tc_EbTJ8cpbcE2QPyrnoTvAeA_8_0"/>
      <w:bookmarkStart w:id="410" w:name="Tc_f2c1CkxPnUyk7frUIeck3w_7_0"/>
      <w:bookmarkStart w:id="411" w:name="Tc_qTw-cBSiy0m64sHaEnkppQ_6_0"/>
      <w:bookmarkStart w:id="412" w:name="Tc_MB4HG2htkUumuMe4pYsmsA_5_5"/>
      <w:bookmarkStart w:id="413" w:name="Tc_eXLw3FT-v0y0zOk3FQX2kQ_5_2"/>
      <w:bookmarkStart w:id="414" w:name="Tc_ri_BaxZ40UG0zonQbqbEVg_5_0"/>
      <w:bookmarkStart w:id="415" w:name="Tc_9X7jySXv1kaKPVf71KFiEQ_4_0"/>
      <w:bookmarkStart w:id="416" w:name="Tc_dIc7JAVO2kSOdNnBFT5A3w_3_5"/>
      <w:bookmarkStart w:id="417" w:name="Tc_IW_ZC0NLTk29b00W3FZrbw_3_2"/>
      <w:bookmarkStart w:id="418" w:name="Tc_Yh7xpZs4WUKTNkHk_ITntw_2_5"/>
      <w:bookmarkStart w:id="419" w:name="Tc_C1I_8hwEiU617gyTVKxBBQ_2_2"/>
      <w:bookmarkStart w:id="420" w:name="Tc_D5V7D1EihUKoY1l2gOv1gA_1_2"/>
      <w:bookmarkStart w:id="421" w:name="_f24a8da5_df71_41a6_a319_4fb1945efbc5"/>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tbl>
      <w:tblPr>
        <w:tblW w:w="8392" w:type="dxa"/>
        <w:jc w:val="left"/>
        <w:tblInd w:w="0" w:type="dxa"/>
        <w:tblLayout w:type="fixed"/>
        <w:tblCellMar>
          <w:top w:w="0" w:type="dxa"/>
          <w:left w:w="0" w:type="dxa"/>
          <w:bottom w:w="0" w:type="dxa"/>
          <w:right w:w="0" w:type="dxa"/>
        </w:tblCellMar>
      </w:tblPr>
      <w:tblGrid>
        <w:gridCol w:w="5821"/>
        <w:gridCol w:w="346"/>
        <w:gridCol w:w="196"/>
        <w:gridCol w:w="721"/>
        <w:gridCol w:w="346"/>
        <w:gridCol w:w="196"/>
        <w:gridCol w:w="766"/>
      </w:tblGrid>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86,663</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earnings to 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21,518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sale of property, plant,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16,162</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(10,242)</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 (current and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(26,307)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 (current and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(54,183)</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65,130</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property damage insurance claims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(30,191)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short-term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2,840</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on 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(4,441)</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repayments on long-term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(60,174)</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(12,019)</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to redeemable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redeemable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exercises under stock plans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withholdings on exercises under stock plans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(6,600)</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(16,993)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20,084</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184,399</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10,672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422" w:name="CONDENSEDCONSOLIDATEDSTATEMENTSOFSHAREHO"/>
      <w:bookmarkStart w:id="423" w:name="_d1c35d80_832e_4057_aa70_eb3ea20543a7"/>
      <w:bookmarkEnd w:id="422"/>
      <w:bookmarkEnd w:id="423"/>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AND REDEEMABLE NONCONTROLLING INTERESTS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424" w:name="Tc_ktZ8vB0pW0SwTSFgyloSig_11_17"/>
      <w:bookmarkStart w:id="425" w:name="Tc_cXtKoi5TZker7T2YFdaFDA_11_14"/>
      <w:bookmarkStart w:id="426" w:name="Tc_pjEdobf7qUeYRJCsNKnwOg_11_11"/>
      <w:bookmarkStart w:id="427" w:name="Tc_KxCYYOA250eqmZrYL8LmIA_11_8"/>
      <w:bookmarkStart w:id="428" w:name="Tc_GJfT5HgShUmN9U4fmfC3LQ_11_5"/>
      <w:bookmarkStart w:id="429" w:name="Tc_v2aiIDPj4EKgdwPt5EeOmw_11_2"/>
      <w:bookmarkStart w:id="430" w:name="Tc_YSi2VXbJI0WtgYDP1Nh3Vg_11_0"/>
      <w:bookmarkStart w:id="431" w:name="Tc_cBFbIhsKx0e1pZBsGwH4uw_10_18"/>
      <w:bookmarkStart w:id="432" w:name="Tc_bq7Cj0Lk3E-yyvPj88nYkQ_10_9"/>
      <w:bookmarkStart w:id="433" w:name="Tc_2FofgKBmIUKyjAynjWPtpA_10_3"/>
      <w:bookmarkStart w:id="434" w:name="Tc_QDOy2tmwbketinM6K2lvUw_10_0"/>
      <w:bookmarkStart w:id="435" w:name="Tc_yXTYT5biKkC0p4INCqgcSQ_9_18"/>
      <w:bookmarkStart w:id="436" w:name="Tc_ZdGjc2wCXkSITAWeWe8IpA_9_9"/>
      <w:bookmarkStart w:id="437" w:name="Tc_yxhDFm2e8U6_T7ksXPkBow_9_6"/>
      <w:bookmarkStart w:id="438" w:name="Tc_qjuwWvLGkkGgLAZ8puwvLg_9_3"/>
      <w:bookmarkStart w:id="439" w:name="Tc_Y9tiWTsl8E-hhzmmn9ZDjA_9_0"/>
      <w:bookmarkStart w:id="440" w:name="Tc_8HtO9iMgl0yC77aC3crtLA_8_18"/>
      <w:bookmarkStart w:id="441" w:name="Tc_eZ-w3-0SwUS3SLOxFN8qUg_8_12"/>
      <w:bookmarkStart w:id="442" w:name="Tc_h7I_sx10x0S_QlD3jllKKg_8_9"/>
      <w:bookmarkStart w:id="443" w:name="Tc_GCBtaD621kmaCiJ-IBmVuA_8_3"/>
      <w:bookmarkStart w:id="444" w:name="Tc_fxdoY7_cpEycAoDbqIzflw_8_0"/>
      <w:bookmarkStart w:id="445" w:name="Tc_hgALnttLK0iUY8V_Xt1d1A_7_12"/>
      <w:bookmarkStart w:id="446" w:name="Tc_J-949nslA0C1JYz1nR0_Uw_7_6"/>
      <w:bookmarkStart w:id="447" w:name="Tc_luk-jtAzy0q8cFNvi2Alfw_7_3"/>
      <w:bookmarkStart w:id="448" w:name="Tc_0nfaLdyyq0-drEBgoMLiFg_7_0"/>
      <w:bookmarkStart w:id="449" w:name="Tc_cocNokQXDkeE2vj2_xI-yA_6_12"/>
      <w:bookmarkStart w:id="450" w:name="Tc_1dIisQxtDEiR-eA4zo03LA_6_9"/>
      <w:bookmarkStart w:id="451" w:name="Tc_90x9JS0ZAU6fq9ddbn_hAQ_6_3"/>
      <w:bookmarkStart w:id="452" w:name="Tc_rfbl9a-shU2ewGpUhV13xw_6_0"/>
      <w:bookmarkStart w:id="453" w:name="Tc_rhSh46p0lUKvDu_mFifHRw_5_17"/>
      <w:bookmarkStart w:id="454" w:name="Tc_vVOhPh2qcEiB2Rf1fceh7w_5_14"/>
      <w:bookmarkStart w:id="455" w:name="Tc_Cmc_ehMC50a2mOLLEwAX7Q_5_11"/>
      <w:bookmarkStart w:id="456" w:name="Tc_N7z2Gvmnzk60WqtUlNoRWg_5_8"/>
      <w:bookmarkStart w:id="457" w:name="Tc_CgrwNzxfkE-k3yo3ctbD7w_5_5"/>
      <w:bookmarkStart w:id="458" w:name="Tc_f57hBa3cSk-p-mR2w5Qzqw_5_2"/>
      <w:bookmarkStart w:id="459" w:name="Tc_FiL9IC_bBk2rqotBTtN20g_5_0"/>
      <w:bookmarkStart w:id="460" w:name="Tc_AXK1tSUkCkynQsntakeplg_4_17"/>
      <w:bookmarkStart w:id="461" w:name="Tc_IBXJO7ykIU-AiAubB2y2nA_4_14"/>
      <w:bookmarkStart w:id="462" w:name="Tc_LufJH08oakeI8oyHO7OTJg_4_11"/>
      <w:bookmarkStart w:id="463" w:name="Tc_63RpYVN5MEm3lWD-iY4OJw_4_8"/>
      <w:bookmarkStart w:id="464" w:name="Tc_WQuGZmbCMUefC1GKGm43Dw_4_5"/>
      <w:bookmarkStart w:id="465" w:name="Tc_47Rm6YwunEiui3fUNA7FxA_4_2"/>
      <w:bookmarkStart w:id="466" w:name="Tc_qbkv1JBfKkuksAmD549Y0w_3_17"/>
      <w:bookmarkStart w:id="467" w:name="Tc_8UsDLGElRUyFD7zDSeksmA_3_14"/>
      <w:bookmarkStart w:id="468" w:name="Tc_mPwJX5JKhEOpev7QwG8U1A_3_11"/>
      <w:bookmarkStart w:id="469" w:name="Tc_KSUkc7eYEU68N_tp8p9CGw_3_8"/>
      <w:bookmarkStart w:id="470" w:name="Tc_Go_TvPgfLUqU_wmc9NVxmQ_3_5"/>
      <w:bookmarkStart w:id="471" w:name="Tc_oHrFvdoCbUyfXAvyE3SO-w_3_2"/>
      <w:bookmarkStart w:id="472" w:name="Tc_1W72qZxnoEGfImbYHt-KYg_2_17"/>
      <w:bookmarkStart w:id="473" w:name="Tc_R8Z4kPikk0K7dq4AZQgNFg_2_14"/>
      <w:bookmarkStart w:id="474" w:name="Tc_yhJm6zuvnkKEaR3CzpGajQ_2_8"/>
      <w:bookmarkStart w:id="475" w:name="Tc_p84apyhh3USAHujSsahMxQ_1_8"/>
      <w:bookmarkStart w:id="476" w:name="_10accffa_0c1a_4081_a054_4ac113ba3512"/>
      <w:bookmarkStart w:id="477" w:name="Tc_ktZ8vB0pW0SwTSFgyloSig_11_17"/>
      <w:bookmarkStart w:id="478" w:name="Tc_cXtKoi5TZker7T2YFdaFDA_11_14"/>
      <w:bookmarkStart w:id="479" w:name="Tc_pjEdobf7qUeYRJCsNKnwOg_11_11"/>
      <w:bookmarkStart w:id="480" w:name="Tc_KxCYYOA250eqmZrYL8LmIA_11_8"/>
      <w:bookmarkStart w:id="481" w:name="Tc_GJfT5HgShUmN9U4fmfC3LQ_11_5"/>
      <w:bookmarkStart w:id="482" w:name="Tc_v2aiIDPj4EKgdwPt5EeOmw_11_2"/>
      <w:bookmarkStart w:id="483" w:name="Tc_YSi2VXbJI0WtgYDP1Nh3Vg_11_0"/>
      <w:bookmarkStart w:id="484" w:name="Tc_cBFbIhsKx0e1pZBsGwH4uw_10_18"/>
      <w:bookmarkStart w:id="485" w:name="Tc_bq7Cj0Lk3E-yyvPj88nYkQ_10_9"/>
      <w:bookmarkStart w:id="486" w:name="Tc_2FofgKBmIUKyjAynjWPtpA_10_3"/>
      <w:bookmarkStart w:id="487" w:name="Tc_QDOy2tmwbketinM6K2lvUw_10_0"/>
      <w:bookmarkStart w:id="488" w:name="Tc_yXTYT5biKkC0p4INCqgcSQ_9_18"/>
      <w:bookmarkStart w:id="489" w:name="Tc_ZdGjc2wCXkSITAWeWe8IpA_9_9"/>
      <w:bookmarkStart w:id="490" w:name="Tc_yxhDFm2e8U6_T7ksXPkBow_9_6"/>
      <w:bookmarkStart w:id="491" w:name="Tc_qjuwWvLGkkGgLAZ8puwvLg_9_3"/>
      <w:bookmarkStart w:id="492" w:name="Tc_Y9tiWTsl8E-hhzmmn9ZDjA_9_0"/>
      <w:bookmarkStart w:id="493" w:name="Tc_8HtO9iMgl0yC77aC3crtLA_8_18"/>
      <w:bookmarkStart w:id="494" w:name="Tc_eZ-w3-0SwUS3SLOxFN8qUg_8_12"/>
      <w:bookmarkStart w:id="495" w:name="Tc_h7I_sx10x0S_QlD3jllKKg_8_9"/>
      <w:bookmarkStart w:id="496" w:name="Tc_GCBtaD621kmaCiJ-IBmVuA_8_3"/>
      <w:bookmarkStart w:id="497" w:name="Tc_fxdoY7_cpEycAoDbqIzflw_8_0"/>
      <w:bookmarkStart w:id="498" w:name="Tc_hgALnttLK0iUY8V_Xt1d1A_7_12"/>
      <w:bookmarkStart w:id="499" w:name="Tc_J-949nslA0C1JYz1nR0_Uw_7_6"/>
      <w:bookmarkStart w:id="500" w:name="Tc_luk-jtAzy0q8cFNvi2Alfw_7_3"/>
      <w:bookmarkStart w:id="501" w:name="Tc_0nfaLdyyq0-drEBgoMLiFg_7_0"/>
      <w:bookmarkStart w:id="502" w:name="Tc_cocNokQXDkeE2vj2_xI-yA_6_12"/>
      <w:bookmarkStart w:id="503" w:name="Tc_1dIisQxtDEiR-eA4zo03LA_6_9"/>
      <w:bookmarkStart w:id="504" w:name="Tc_90x9JS0ZAU6fq9ddbn_hAQ_6_3"/>
      <w:bookmarkStart w:id="505" w:name="Tc_rfbl9a-shU2ewGpUhV13xw_6_0"/>
      <w:bookmarkStart w:id="506" w:name="Tc_rhSh46p0lUKvDu_mFifHRw_5_17"/>
      <w:bookmarkStart w:id="507" w:name="Tc_vVOhPh2qcEiB2Rf1fceh7w_5_14"/>
      <w:bookmarkStart w:id="508" w:name="Tc_Cmc_ehMC50a2mOLLEwAX7Q_5_11"/>
      <w:bookmarkStart w:id="509" w:name="Tc_N7z2Gvmnzk60WqtUlNoRWg_5_8"/>
      <w:bookmarkStart w:id="510" w:name="Tc_CgrwNzxfkE-k3yo3ctbD7w_5_5"/>
      <w:bookmarkStart w:id="511" w:name="Tc_f57hBa3cSk-p-mR2w5Qzqw_5_2"/>
      <w:bookmarkStart w:id="512" w:name="Tc_FiL9IC_bBk2rqotBTtN20g_5_0"/>
      <w:bookmarkStart w:id="513" w:name="Tc_AXK1tSUkCkynQsntakeplg_4_17"/>
      <w:bookmarkStart w:id="514" w:name="Tc_IBXJO7ykIU-AiAubB2y2nA_4_14"/>
      <w:bookmarkStart w:id="515" w:name="Tc_LufJH08oakeI8oyHO7OTJg_4_11"/>
      <w:bookmarkStart w:id="516" w:name="Tc_63RpYVN5MEm3lWD-iY4OJw_4_8"/>
      <w:bookmarkStart w:id="517" w:name="Tc_WQuGZmbCMUefC1GKGm43Dw_4_5"/>
      <w:bookmarkStart w:id="518" w:name="Tc_47Rm6YwunEiui3fUNA7FxA_4_2"/>
      <w:bookmarkStart w:id="519" w:name="Tc_qbkv1JBfKkuksAmD549Y0w_3_17"/>
      <w:bookmarkStart w:id="520" w:name="Tc_8UsDLGElRUyFD7zDSeksmA_3_14"/>
      <w:bookmarkStart w:id="521" w:name="Tc_mPwJX5JKhEOpev7QwG8U1A_3_11"/>
      <w:bookmarkStart w:id="522" w:name="Tc_KSUkc7eYEU68N_tp8p9CGw_3_8"/>
      <w:bookmarkStart w:id="523" w:name="Tc_Go_TvPgfLUqU_wmc9NVxmQ_3_5"/>
      <w:bookmarkStart w:id="524" w:name="Tc_oHrFvdoCbUyfXAvyE3SO-w_3_2"/>
      <w:bookmarkStart w:id="525" w:name="Tc_1W72qZxnoEGfImbYHt-KYg_2_17"/>
      <w:bookmarkStart w:id="526" w:name="Tc_R8Z4kPikk0K7dq4AZQgNFg_2_14"/>
      <w:bookmarkStart w:id="527" w:name="Tc_yhJm6zuvnkKEaR3CzpGajQ_2_8"/>
      <w:bookmarkStart w:id="528" w:name="Tc_p84apyhh3USAHujSsahMxQ_1_8"/>
      <w:bookmarkStart w:id="529" w:name="_10accffa_0c1a_4081_a054_4ac113ba3512"/>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tbl>
      <w:tblPr>
        <w:tblW w:w="10205" w:type="dxa"/>
        <w:jc w:val="left"/>
        <w:tblInd w:w="0" w:type="dxa"/>
        <w:tblLayout w:type="fixed"/>
        <w:tblCellMar>
          <w:top w:w="0" w:type="dxa"/>
          <w:left w:w="0" w:type="dxa"/>
          <w:bottom w:w="0" w:type="dxa"/>
          <w:right w:w="0" w:type="dxa"/>
        </w:tblCellMar>
      </w:tblPr>
      <w:tblGrid>
        <w:gridCol w:w="2884"/>
        <w:gridCol w:w="346"/>
        <w:gridCol w:w="181"/>
        <w:gridCol w:w="511"/>
        <w:gridCol w:w="346"/>
        <w:gridCol w:w="181"/>
        <w:gridCol w:w="691"/>
        <w:gridCol w:w="346"/>
        <w:gridCol w:w="220"/>
        <w:gridCol w:w="771"/>
        <w:gridCol w:w="346"/>
        <w:gridCol w:w="181"/>
        <w:gridCol w:w="772"/>
        <w:gridCol w:w="346"/>
        <w:gridCol w:w="190"/>
        <w:gridCol w:w="731"/>
        <w:gridCol w:w="109"/>
        <w:gridCol w:w="268"/>
        <w:gridCol w:w="785"/>
      </w:tblGrid>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left"/>
              <w:rPr/>
            </w:pPr>
            <w:r>
              <w:rPr/>
              <w:t>​</w:t>
            </w:r>
          </w:p>
        </w:tc>
      </w:tr>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3" w:type="dxa"/>
            <w:gridSpan w:val="2"/>
            <w:tcBorders/>
            <w:vAlign w:val="center"/>
          </w:tcPr>
          <w:p>
            <w:pPr>
              <w:pStyle w:val="TableContents"/>
              <w:bidi w:val="0"/>
              <w:spacing w:before="0" w:after="1"/>
              <w:ind w:left="0" w:right="0" w:hanging="0"/>
              <w:jc w:val="center"/>
              <w:rPr/>
            </w:pPr>
            <w:r>
              <w:rPr/>
              <w:t>​</w:t>
            </w:r>
          </w:p>
        </w:tc>
      </w:tr>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1"/>
              <w:ind w:left="0" w:right="0" w:hanging="0"/>
              <w:jc w:val="left"/>
              <w:rPr/>
            </w:pPr>
            <w:r>
              <w:rPr/>
              <w:t>​</w:t>
            </w:r>
          </w:p>
        </w:tc>
        <w:tc>
          <w:tcPr>
            <w:tcW w:w="10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r>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left"/>
              <w:rPr/>
            </w:pPr>
            <w:r>
              <w:rPr/>
              <w:t>​</w:t>
            </w:r>
          </w:p>
        </w:tc>
        <w:tc>
          <w:tcPr>
            <w:tcW w:w="9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109" w:type="dxa"/>
            <w:tcBorders/>
            <w:vAlign w:val="center"/>
          </w:tcPr>
          <w:p>
            <w:pPr>
              <w:pStyle w:val="TableContents"/>
              <w:bidi w:val="0"/>
              <w:spacing w:before="0" w:after="1"/>
              <w:ind w:left="0" w:right="0" w:hanging="0"/>
              <w:jc w:val="left"/>
              <w:rPr/>
            </w:pPr>
            <w:r>
              <w:rPr/>
              <w:t>​</w:t>
            </w:r>
          </w:p>
        </w:tc>
        <w:tc>
          <w:tcPr>
            <w:tcW w:w="10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r>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left"/>
              <w:rPr/>
            </w:pPr>
            <w:r>
              <w:rPr/>
              <w:t>​</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1"/>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r>
      <w:tr>
        <w:trPr/>
        <w:tc>
          <w:tcPr>
            <w:tcW w:w="288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3,156,235</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(290,515)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(1,260,833)</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1,632,787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9,498</w:t>
            </w:r>
          </w:p>
        </w:tc>
      </w:tr>
      <w:tr>
        <w:trPr/>
        <w:tc>
          <w:tcPr>
            <w:tcW w:w="28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108,033</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108,033</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8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6,826</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w:t>
            </w:r>
          </w:p>
        </w:tc>
      </w:tr>
      <w:tr>
        <w:trPr/>
        <w:tc>
          <w:tcPr>
            <w:tcW w:w="28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dividends declared ($0.77 per share)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(14,948)</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(14,948)</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w:t>
            </w:r>
          </w:p>
        </w:tc>
      </w:tr>
      <w:tr>
        <w:trPr/>
        <w:tc>
          <w:tcPr>
            <w:tcW w:w="28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Repurchases of common stock; 131,197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(57,029)</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(57,029)</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w:t>
            </w:r>
          </w:p>
        </w:tc>
      </w:tr>
      <w:tr>
        <w:trPr/>
        <w:tc>
          <w:tcPr>
            <w:tcW w:w="28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(5,296)</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8,909</w:t>
            </w:r>
          </w:p>
        </w:tc>
        <w:tc>
          <w:tcPr>
            <w:tcW w:w="346" w:type="dxa"/>
            <w:tcBorders/>
            <w:vAlign w:val="center"/>
          </w:tcPr>
          <w:p>
            <w:pPr>
              <w:pStyle w:val="TableContents"/>
              <w:bidi w:val="0"/>
              <w:spacing w:before="0" w:after="1"/>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3,613</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March 28, 2026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3,244,024</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(283,689)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(1,308,953)</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1,679,282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9,301</w:t>
            </w:r>
          </w:p>
        </w:tc>
      </w:tr>
    </w:tbl>
    <w:p>
      <w:pPr>
        <w:pStyle w:val="TextBody"/>
        <w:bidi w:val="0"/>
        <w:spacing w:lineRule="auto" w:line="328" w:before="0" w:after="240"/>
        <w:ind w:left="0" w:right="0" w:hanging="0"/>
        <w:jc w:val="left"/>
        <w:rPr/>
      </w:pPr>
      <w:r>
        <w:rPr/>
        <w:t>​</w:t>
      </w:r>
    </w:p>
    <w:p>
      <w:pPr>
        <w:pStyle w:val="Normal"/>
        <w:bidi w:val="0"/>
        <w:spacing w:before="0" w:after="0"/>
        <w:jc w:val="left"/>
        <w:rPr>
          <w:sz w:val="4"/>
          <w:szCs w:val="4"/>
        </w:rPr>
      </w:pPr>
      <w:r>
        <w:rPr>
          <w:sz w:val="4"/>
          <w:szCs w:val="4"/>
        </w:rPr>
      </w:r>
      <w:bookmarkStart w:id="530" w:name="Tc_0bTb1kDm-E-Pl7pRaZjBOQ_12_17"/>
      <w:bookmarkStart w:id="531" w:name="Tc_MpOfDqdFvUeewasiKxzgpg_12_14"/>
      <w:bookmarkStart w:id="532" w:name="Tc_-GVDeeeYbUS2tSapCgLyTQ_12_11"/>
      <w:bookmarkStart w:id="533" w:name="Tc_0YCM8BxRp0C11HEij2Y3hw_12_8"/>
      <w:bookmarkStart w:id="534" w:name="Tc_uC5j0s2es0KjUwjy_aqytg_12_5"/>
      <w:bookmarkStart w:id="535" w:name="Tc_dUZtwdyqd0GZto3H52RRgA_12_2"/>
      <w:bookmarkStart w:id="536" w:name="Tc_s-WFJKg080-YeQIYzj_Q6Q_12_0"/>
      <w:bookmarkStart w:id="537" w:name="Tc_6cr2PC0hRU6p2rRyFFZeoA_11_18"/>
      <w:bookmarkStart w:id="538" w:name="Tc_Se83UsHhsUyxc5YmsVx_AQ_11_9"/>
      <w:bookmarkStart w:id="539" w:name="Tc_y-g_o_QUhEqgJpFLWuKAxA_11_3"/>
      <w:bookmarkStart w:id="540" w:name="Tc_l92271URPUenf36S7TIb-w_11_0"/>
      <w:bookmarkStart w:id="541" w:name="Tc_BfBc0GroNEq1tV827AbAsQ_10_12"/>
      <w:bookmarkStart w:id="542" w:name="Tc_cjhj2ckLqUyZtBXW0bMF6A_10_9"/>
      <w:bookmarkStart w:id="543" w:name="Tc_bDBXKiPP2EWg90aVHQHa6Q_10_3"/>
      <w:bookmarkStart w:id="544" w:name="Tc_jJb8TBMLrkuPwCmiPRLuhQ_10_0"/>
      <w:bookmarkStart w:id="545" w:name="Tc_iANFLOlqDUu9hdmHYRUXzA_9_15"/>
      <w:bookmarkStart w:id="546" w:name="Tc_f2MWqmW6MU2k27sR9tDxAg_9_12"/>
      <w:bookmarkStart w:id="547" w:name="Tc_piRvXDrT0E-3iSkyn0wE0A_9_9"/>
      <w:bookmarkStart w:id="548" w:name="Tc_bkoX9Hh8ZU6uQRBXg37AkA_9_6"/>
      <w:bookmarkStart w:id="549" w:name="Tc_f93QA4BpRkyrADJ6SPqoqg_9_3"/>
      <w:bookmarkStart w:id="550" w:name="Tc_4AA-2zpBaUaAyE4e9Q9LPw_9_0"/>
      <w:bookmarkStart w:id="551" w:name="Tc_zk1tV2EyKkaTj88xId2vSQ_8_18"/>
      <w:bookmarkStart w:id="552" w:name="Tc_hcJbR3D4kUGzL04Lom_pYA_8_12"/>
      <w:bookmarkStart w:id="553" w:name="Tc_qjaghq6Ix0uOepYQii7gYA_8_9"/>
      <w:bookmarkStart w:id="554" w:name="Tc_rRlZQq0NMUGkmehvKI9qEg_8_3"/>
      <w:bookmarkStart w:id="555" w:name="Tc_6ZlpVqsTJkqck5-Q1DLD1A_8_0"/>
      <w:bookmarkStart w:id="556" w:name="Tc_aiCuATm3CEibdeFToz7FPw_7_12"/>
      <w:bookmarkStart w:id="557" w:name="Tc_3HdDlaCQ50mEIjzzwOAoug_7_6"/>
      <w:bookmarkStart w:id="558" w:name="Tc_sfI_d5mS7kmnKiU3KxYPfQ_7_3"/>
      <w:bookmarkStart w:id="559" w:name="Tc_MWvMY0lWwk21Nw6MXRZH8w_7_0"/>
      <w:bookmarkStart w:id="560" w:name="Tc_G0KpjtZ9YkqV9kpfNDzxIg_6_12"/>
      <w:bookmarkStart w:id="561" w:name="Tc_rUHEEeWOI0SPzRw7dbfd2w_6_9"/>
      <w:bookmarkStart w:id="562" w:name="Tc_DtZcAqFDpkOdRo9y-31qnw_6_3"/>
      <w:bookmarkStart w:id="563" w:name="Tc_qzh8COJw70G_pyjhtI29vQ_6_0"/>
      <w:bookmarkStart w:id="564" w:name="Tc_IWhVhswqTU6gFo2G2arLeg_5_17"/>
      <w:bookmarkStart w:id="565" w:name="Tc_cOZB-yiR-kmIt2feML6mmg_5_14"/>
      <w:bookmarkStart w:id="566" w:name="Tc_7oGYvOAnIEak3wF7EzdMcQ_5_11"/>
      <w:bookmarkStart w:id="567" w:name="Tc_397Rw9Y_z0afMhWDhzWMgQ_5_8"/>
      <w:bookmarkStart w:id="568" w:name="Tc_m5wpLhzTxECuihwX3tqUHA_5_5"/>
      <w:bookmarkStart w:id="569" w:name="Tc_xh_FNATPs06f9xoJgJUXMQ_5_2"/>
      <w:bookmarkStart w:id="570" w:name="Tc_Ju1kiepnt02GlBBCA5ZONg_5_0"/>
      <w:bookmarkStart w:id="571" w:name="Tc_4L-GQNVY1EKullS1_KGqyQ_4_17"/>
      <w:bookmarkStart w:id="572" w:name="Tc_au_Rt0_1U0usIUYinZ9gdg_4_14"/>
      <w:bookmarkStart w:id="573" w:name="Tc_0y5J56tKJ02QgJwItMGHEQ_4_11"/>
      <w:bookmarkStart w:id="574" w:name="Tc_jVOaFbT2y0mzDaF6VDAPfQ_4_8"/>
      <w:bookmarkStart w:id="575" w:name="Tc_0FgG0TvNBEur5eiRLKnPTg_4_5"/>
      <w:bookmarkStart w:id="576" w:name="Tc_nVJ92s3RcUaf2MsxdCbLTA_4_2"/>
      <w:bookmarkStart w:id="577" w:name="Tc_vAX5_c1hKU6LMafr3T8afA_3_17"/>
      <w:bookmarkStart w:id="578" w:name="Tc_KQydwRWad069GgDcVhSf4A_3_14"/>
      <w:bookmarkStart w:id="579" w:name="Tc_7fWail7rUEC5IMVz75LFfw_3_11"/>
      <w:bookmarkStart w:id="580" w:name="Tc_woYMA-ZiGkuHu_S3OCE09w_3_8"/>
      <w:bookmarkStart w:id="581" w:name="Tc_6-Wsl22Go0ipn_hkVQbQhA_3_5"/>
      <w:bookmarkStart w:id="582" w:name="Tc_Yhu_QwTyMESXmr_GtMXzmQ_3_2"/>
      <w:bookmarkStart w:id="583" w:name="Tc_jqxcebxPNUmKS4UZP-7Z8g_2_17"/>
      <w:bookmarkStart w:id="584" w:name="Tc_ouTkbXUoj0qQYvKWTPWBHg_2_14"/>
      <w:bookmarkStart w:id="585" w:name="Tc_VK3Q6ZJEeUKW3SyEch48VQ_2_8"/>
      <w:bookmarkStart w:id="586" w:name="Tc_cWhjfw2l-kaoxI_pCbKciA_1_8"/>
      <w:bookmarkStart w:id="587" w:name="_ce3912ca_add6_45ea_816d_cfa3b9ec0889"/>
      <w:bookmarkStart w:id="588" w:name="Tc_0bTb1kDm-E-Pl7pRaZjBOQ_12_17"/>
      <w:bookmarkStart w:id="589" w:name="Tc_MpOfDqdFvUeewasiKxzgpg_12_14"/>
      <w:bookmarkStart w:id="590" w:name="Tc_-GVDeeeYbUS2tSapCgLyTQ_12_11"/>
      <w:bookmarkStart w:id="591" w:name="Tc_0YCM8BxRp0C11HEij2Y3hw_12_8"/>
      <w:bookmarkStart w:id="592" w:name="Tc_uC5j0s2es0KjUwjy_aqytg_12_5"/>
      <w:bookmarkStart w:id="593" w:name="Tc_dUZtwdyqd0GZto3H52RRgA_12_2"/>
      <w:bookmarkStart w:id="594" w:name="Tc_s-WFJKg080-YeQIYzj_Q6Q_12_0"/>
      <w:bookmarkStart w:id="595" w:name="Tc_6cr2PC0hRU6p2rRyFFZeoA_11_18"/>
      <w:bookmarkStart w:id="596" w:name="Tc_Se83UsHhsUyxc5YmsVx_AQ_11_9"/>
      <w:bookmarkStart w:id="597" w:name="Tc_y-g_o_QUhEqgJpFLWuKAxA_11_3"/>
      <w:bookmarkStart w:id="598" w:name="Tc_l92271URPUenf36S7TIb-w_11_0"/>
      <w:bookmarkStart w:id="599" w:name="Tc_BfBc0GroNEq1tV827AbAsQ_10_12"/>
      <w:bookmarkStart w:id="600" w:name="Tc_cjhj2ckLqUyZtBXW0bMF6A_10_9"/>
      <w:bookmarkStart w:id="601" w:name="Tc_bDBXKiPP2EWg90aVHQHa6Q_10_3"/>
      <w:bookmarkStart w:id="602" w:name="Tc_jJb8TBMLrkuPwCmiPRLuhQ_10_0"/>
      <w:bookmarkStart w:id="603" w:name="Tc_iANFLOlqDUu9hdmHYRUXzA_9_15"/>
      <w:bookmarkStart w:id="604" w:name="Tc_f2MWqmW6MU2k27sR9tDxAg_9_12"/>
      <w:bookmarkStart w:id="605" w:name="Tc_piRvXDrT0E-3iSkyn0wE0A_9_9"/>
      <w:bookmarkStart w:id="606" w:name="Tc_bkoX9Hh8ZU6uQRBXg37AkA_9_6"/>
      <w:bookmarkStart w:id="607" w:name="Tc_f93QA4BpRkyrADJ6SPqoqg_9_3"/>
      <w:bookmarkStart w:id="608" w:name="Tc_4AA-2zpBaUaAyE4e9Q9LPw_9_0"/>
      <w:bookmarkStart w:id="609" w:name="Tc_zk1tV2EyKkaTj88xId2vSQ_8_18"/>
      <w:bookmarkStart w:id="610" w:name="Tc_hcJbR3D4kUGzL04Lom_pYA_8_12"/>
      <w:bookmarkStart w:id="611" w:name="Tc_qjaghq6Ix0uOepYQii7gYA_8_9"/>
      <w:bookmarkStart w:id="612" w:name="Tc_rRlZQq0NMUGkmehvKI9qEg_8_3"/>
      <w:bookmarkStart w:id="613" w:name="Tc_6ZlpVqsTJkqck5-Q1DLD1A_8_0"/>
      <w:bookmarkStart w:id="614" w:name="Tc_aiCuATm3CEibdeFToz7FPw_7_12"/>
      <w:bookmarkStart w:id="615" w:name="Tc_3HdDlaCQ50mEIjzzwOAoug_7_6"/>
      <w:bookmarkStart w:id="616" w:name="Tc_sfI_d5mS7kmnKiU3KxYPfQ_7_3"/>
      <w:bookmarkStart w:id="617" w:name="Tc_MWvMY0lWwk21Nw6MXRZH8w_7_0"/>
      <w:bookmarkStart w:id="618" w:name="Tc_G0KpjtZ9YkqV9kpfNDzxIg_6_12"/>
      <w:bookmarkStart w:id="619" w:name="Tc_rUHEEeWOI0SPzRw7dbfd2w_6_9"/>
      <w:bookmarkStart w:id="620" w:name="Tc_DtZcAqFDpkOdRo9y-31qnw_6_3"/>
      <w:bookmarkStart w:id="621" w:name="Tc_qzh8COJw70G_pyjhtI29vQ_6_0"/>
      <w:bookmarkStart w:id="622" w:name="Tc_IWhVhswqTU6gFo2G2arLeg_5_17"/>
      <w:bookmarkStart w:id="623" w:name="Tc_cOZB-yiR-kmIt2feML6mmg_5_14"/>
      <w:bookmarkStart w:id="624" w:name="Tc_7oGYvOAnIEak3wF7EzdMcQ_5_11"/>
      <w:bookmarkStart w:id="625" w:name="Tc_397Rw9Y_z0afMhWDhzWMgQ_5_8"/>
      <w:bookmarkStart w:id="626" w:name="Tc_m5wpLhzTxECuihwX3tqUHA_5_5"/>
      <w:bookmarkStart w:id="627" w:name="Tc_xh_FNATPs06f9xoJgJUXMQ_5_2"/>
      <w:bookmarkStart w:id="628" w:name="Tc_Ju1kiepnt02GlBBCA5ZONg_5_0"/>
      <w:bookmarkStart w:id="629" w:name="Tc_4L-GQNVY1EKullS1_KGqyQ_4_17"/>
      <w:bookmarkStart w:id="630" w:name="Tc_au_Rt0_1U0usIUYinZ9gdg_4_14"/>
      <w:bookmarkStart w:id="631" w:name="Tc_0y5J56tKJ02QgJwItMGHEQ_4_11"/>
      <w:bookmarkStart w:id="632" w:name="Tc_jVOaFbT2y0mzDaF6VDAPfQ_4_8"/>
      <w:bookmarkStart w:id="633" w:name="Tc_0FgG0TvNBEur5eiRLKnPTg_4_5"/>
      <w:bookmarkStart w:id="634" w:name="Tc_nVJ92s3RcUaf2MsxdCbLTA_4_2"/>
      <w:bookmarkStart w:id="635" w:name="Tc_vAX5_c1hKU6LMafr3T8afA_3_17"/>
      <w:bookmarkStart w:id="636" w:name="Tc_KQydwRWad069GgDcVhSf4A_3_14"/>
      <w:bookmarkStart w:id="637" w:name="Tc_7fWail7rUEC5IMVz75LFfw_3_11"/>
      <w:bookmarkStart w:id="638" w:name="Tc_woYMA-ZiGkuHu_S3OCE09w_3_8"/>
      <w:bookmarkStart w:id="639" w:name="Tc_6-Wsl22Go0ipn_hkVQbQhA_3_5"/>
      <w:bookmarkStart w:id="640" w:name="Tc_Yhu_QwTyMESXmr_GtMXzmQ_3_2"/>
      <w:bookmarkStart w:id="641" w:name="Tc_jqxcebxPNUmKS4UZP-7Z8g_2_17"/>
      <w:bookmarkStart w:id="642" w:name="Tc_ouTkbXUoj0qQYvKWTPWBHg_2_14"/>
      <w:bookmarkStart w:id="643" w:name="Tc_VK3Q6ZJEeUKW3SyEch48VQ_2_8"/>
      <w:bookmarkStart w:id="644" w:name="Tc_cWhjfw2l-kaoxI_pCbKciA_1_8"/>
      <w:bookmarkStart w:id="645" w:name="_ce3912ca_add6_45ea_816d_cfa3b9ec0889"/>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tbl>
      <w:tblPr>
        <w:tblW w:w="10205" w:type="dxa"/>
        <w:jc w:val="left"/>
        <w:tblInd w:w="0" w:type="dxa"/>
        <w:tblLayout w:type="fixed"/>
        <w:tblCellMar>
          <w:top w:w="0" w:type="dxa"/>
          <w:left w:w="0" w:type="dxa"/>
          <w:bottom w:w="0" w:type="dxa"/>
          <w:right w:w="0" w:type="dxa"/>
        </w:tblCellMar>
      </w:tblPr>
      <w:tblGrid>
        <w:gridCol w:w="2893"/>
        <w:gridCol w:w="346"/>
        <w:gridCol w:w="181"/>
        <w:gridCol w:w="511"/>
        <w:gridCol w:w="346"/>
        <w:gridCol w:w="181"/>
        <w:gridCol w:w="691"/>
        <w:gridCol w:w="346"/>
        <w:gridCol w:w="220"/>
        <w:gridCol w:w="771"/>
        <w:gridCol w:w="346"/>
        <w:gridCol w:w="181"/>
        <w:gridCol w:w="767"/>
        <w:gridCol w:w="346"/>
        <w:gridCol w:w="189"/>
        <w:gridCol w:w="727"/>
        <w:gridCol w:w="109"/>
        <w:gridCol w:w="243"/>
        <w:gridCol w:w="811"/>
      </w:tblGrid>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Redeemable</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0"/>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28, 2024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2,940,838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(332,775)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(1,093,869)</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1,542,094</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51,519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87,261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87,261</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(598)</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22,676</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($0.68 per share)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(13,647)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(13,647)</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adjustment on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(8,306)</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12,024</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3,718</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29, 2025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2,999,046</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(310,099)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(1,081,845)</w:t>
            </w:r>
          </w:p>
        </w:tc>
        <w:tc>
          <w:tcPr>
            <w:tcW w:w="346" w:type="dxa"/>
            <w:tcBorders/>
            <w:vAlign w:val="center"/>
          </w:tcPr>
          <w:p>
            <w:pPr>
              <w:pStyle w:val="TableContents"/>
              <w:bidi w:val="0"/>
              <w:spacing w:before="0" w:after="0"/>
              <w:ind w:left="0" w:right="0" w:hanging="0"/>
              <w:jc w:val="left"/>
              <w:rPr/>
            </w:pPr>
            <w:r>
              <w:rPr/>
              <w:t>​</w:t>
            </w:r>
          </w:p>
        </w:tc>
        <w:tc>
          <w:tcPr>
            <w:tcW w:w="1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1,635,002</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56,899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646" w:name="NOTESTOCONDENSEDCONSOLITATEDFINANCIALSTA"/>
      <w:bookmarkStart w:id="647" w:name="_1_BASIS_OF"/>
      <w:bookmarkEnd w:id="646"/>
      <w:bookmarkEnd w:id="647"/>
      <w:r>
        <w:rPr>
          <w:rFonts w:ascii="Times New Roman;Times;serif" w:hAnsi="Times New Roman;Times;serif"/>
          <w:b/>
          <w:sz w:val="20"/>
        </w:rPr>
        <w:t>(1) SUMMARY OF SIGNIFICANT ACCOUNTING POLICIES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include the accounts of Valmont Industries, Inc. and its controlled subsidiaries (collectively, “Valmont” or the “Company”). Investments in affiliates and joint ventures over which the Company exercises significant influence but does not control are accounted for using the equity method of accounting. All intercompany accounts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United States generally accepted accounting principles (“U.S. GAAP”) for interim financial information. Accordingly, they do not include all of the information and footnote disclosures required by U.S. GAAP for complete annual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opinion of management, the unaudited Condensed Consolidated Financial Statements reflect all adjustments, consisting only of normal recurring adjustments, considered necessary for a fair presentation of the Company’s financial position, results of operations, and cash flows for the interim periods presented. The results of operations for any interim period are not necessarily indicative of the results to be expected for the full fiscal year or for any other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Consolidated Financial Statements and accompanying notes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from those disclosed in Note 1 to the Consolidated Financial Statements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(“ASU”) No.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(Subtopic 220-40): Disaggregation of Income Statement Expenses. This update aims to enhance expense disclosures by providing more detailed information on the types of expenses within commonly presented categories. The guidance is effective on both a prospective and retrospective basis for the fiscal year ending December 25, 2027, with early adoption permitted. The Company does not expect any impact on its results of operations, as the changes primarily relate to enhanced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Intangibles—Goodwill and Other— Internal-Use Software</w:t>
      </w:r>
      <w:r>
        <w:rPr>
          <w:rFonts w:ascii="Times New Roman;Times;serif" w:hAnsi="Times New Roman;Times;serif"/>
          <w:sz w:val="20"/>
        </w:rPr>
        <w:t xml:space="preserve"> (Subtopic 350-40): Targeted Improvements to the Accounting for Internal-Use Software. This update amends certain aspects of the accounting for and disclosure of software costs. The guidance will be adopted prospectively for the Form 10-K for the fiscal year ending December 30, 2028, with early adoption permitted. The Company is currently evaluating the impact of this standard on the Consolidated Financial Statements and related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REVENUE RECOGNITION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assets are recognized as revenue is earned over time and are reduced when the customer is invoiced. As of March 28, 2026 and December 27, 2025, the Company’s contract assets totaled $250,411 and $266,922, respectively, and were recorded as “Contract assets” in the Condensed Consolidated Balance Sheets.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customers are invoiced through advance or progress billings. When the progress toward performance obligations is less than the amount billed to the customer, the excess is recorded as a contract liability. As of March 28, 2026, total contract liabilities were $77,441, with $77,112 recorded as “Contract liabilities” and $329 as “Other non-current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648" w:name="Tc_g3pb06pYwEK0gAhQEzk3QA_5_8"/>
      <w:bookmarkStart w:id="649" w:name="Tc_yrCVGunbo0m2NDT0yaVwpA_5_5"/>
      <w:bookmarkStart w:id="650" w:name="Tc_QoVR6n3a10-F848xHKWuSA_5_2"/>
      <w:bookmarkStart w:id="651" w:name="Tc_-D6WF0LVa0mcChTFEa3ycg_5_0"/>
      <w:bookmarkStart w:id="652" w:name="Tc_d9pLO3qb1EuForvWXl-nJw_4_0"/>
      <w:bookmarkStart w:id="653" w:name="Tc_gGh6UZk1JEye7KdphEB8aA_3_8"/>
      <w:bookmarkStart w:id="654" w:name="Tc_0-bTM4XEL0u0mAnAN53vNg_3_5"/>
      <w:bookmarkStart w:id="655" w:name="Tc_yKH7sfJwj0iv2HXh1JEZtw_3_2"/>
      <w:bookmarkStart w:id="656" w:name="Tc_Q0tsPl5I-kWaIkmZLhcY5w_3_0"/>
      <w:bookmarkStart w:id="657" w:name="Tc_gtscye1wOkK04-8Ml2tHgQ_2_8"/>
      <w:bookmarkStart w:id="658" w:name="Tc_p2cDk5vPkkampyRAwD2KLw_2_5"/>
      <w:bookmarkStart w:id="659" w:name="Tc_8H4vwppYJkuLH1Fkxjvj9Q_2_2"/>
      <w:bookmarkStart w:id="660" w:name="Tc_3ndPM8WW1E-Lej6r81sxVg_1_2"/>
      <w:bookmarkStart w:id="661" w:name="_4fc5f0f7_811b_4eec_b1ab_0d5073f6a58c"/>
      <w:bookmarkStart w:id="662" w:name="Tc_HB1-Y8dyGEWdPNZpMxUuMQ_5_8"/>
      <w:bookmarkStart w:id="663" w:name="Tc_IOjGJZwOZEyNhZewPniEnw_5_5"/>
      <w:bookmarkStart w:id="664" w:name="Tc_-xZyxUxxkUiXd4VmoZoHHA_5_2"/>
      <w:bookmarkStart w:id="665" w:name="Tc_8LMfqethf0CVyT2kUFtQyA_5_0"/>
      <w:bookmarkStart w:id="666" w:name="Tc_C7s_mvIK9UCZwBNzxtEaxw_4_0"/>
      <w:bookmarkStart w:id="667" w:name="Tc_78NsqfEow0CPII9U9jLhLQ_3_8"/>
      <w:bookmarkStart w:id="668" w:name="Tc_OZnVsgrUYE-9zOcMBLIE0g_3_5"/>
      <w:bookmarkStart w:id="669" w:name="Tc_XdQie-RKTkSfsZX-dw6x3g_3_2"/>
      <w:bookmarkStart w:id="670" w:name="Tc_4d3P5Ej8d02i0K2AByw9KQ_3_0"/>
      <w:bookmarkStart w:id="671" w:name="Tc_8xgPaIvFOUSmKYsLuq7Ykg_2_8"/>
      <w:bookmarkStart w:id="672" w:name="Tc_GRKOt2SnokC7GByek_o8vA_2_5"/>
      <w:bookmarkStart w:id="673" w:name="Tc_Wf1dQOLwa0yVsw2woYEm_A_2_2"/>
      <w:bookmarkStart w:id="674" w:name="Tc_mdbmpjmzi0e9CHYPY95gxg_1_2"/>
      <w:bookmarkStart w:id="675" w:name="_e2163bfb_612b_47c4_b36e_f20d6d865aa9"/>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sz w:val="20"/>
        </w:rPr>
        <w:t>liabilities” in the Condensed Consolidated Balance Sheets. As of December 27, 2025, total contract liabilities were $52,475, with $52,013 recorded as “Contract liabilities” and $462 as “Other non-current liabilities” in the Condensed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thirteen weeks ended March 28, 2026 and March 29, 2025, the Company recognized $34,920 and $24,383 in revenue, respectively, from amounts included in contract liabilities as of December 27, 2025 and December 28, 2024, reflecting advance payments applied to performance obligations completed during the respective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the Company had $329 in remaining performance obligations on contracts with an original expected duration of one year or more, which are expected to be fulfilled within the next 12 to 24 months.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Disaggregated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breakdown of revenue recognized over time and at a point in time by segment for the thirteen weeks ended March 28, 2026 and March 29, 2025 is as follows:</w:t>
      </w:r>
    </w:p>
    <w:p>
      <w:pPr>
        <w:pStyle w:val="TextBody"/>
        <w:bidi w:val="0"/>
        <w:spacing w:before="0" w:after="0"/>
        <w:ind w:left="0" w:right="0" w:hanging="0"/>
        <w:jc w:val="left"/>
        <w:rPr/>
      </w:pPr>
      <w:r>
        <w:rPr/>
        <w:t>​</w:t>
      </w:r>
    </w:p>
    <w:tbl>
      <w:tblPr>
        <w:tblW w:w="4799" w:type="dxa"/>
        <w:jc w:val="left"/>
        <w:tblInd w:w="0" w:type="dxa"/>
        <w:tblLayout w:type="fixed"/>
        <w:tblCellMar>
          <w:top w:w="0" w:type="dxa"/>
          <w:left w:w="0" w:type="dxa"/>
          <w:bottom w:w="0" w:type="dxa"/>
          <w:right w:w="0" w:type="dxa"/>
        </w:tblCellMar>
      </w:tblPr>
      <w:tblGrid>
        <w:gridCol w:w="1126"/>
        <w:gridCol w:w="346"/>
        <w:gridCol w:w="242"/>
        <w:gridCol w:w="853"/>
        <w:gridCol w:w="109"/>
        <w:gridCol w:w="196"/>
        <w:gridCol w:w="691"/>
        <w:gridCol w:w="109"/>
        <w:gridCol w:w="196"/>
        <w:gridCol w:w="931"/>
      </w:tblGrid>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March 28, 2026</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109"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381,711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421,469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803,180</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217,555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226,017</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599,266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429,931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1,029,197</w:t>
            </w:r>
          </w:p>
        </w:tc>
      </w:tr>
    </w:tbl>
    <w:p>
      <w:pPr>
        <w:pStyle w:val="TextBody"/>
        <w:bidi w:val="0"/>
        <w:spacing w:before="0" w:after="240"/>
        <w:ind w:left="0" w:right="0" w:hanging="0"/>
        <w:jc w:val="left"/>
        <w:rPr/>
      </w:pPr>
      <w:r>
        <w:rPr/>
        <w:t>​</w:t>
      </w:r>
    </w:p>
    <w:tbl>
      <w:tblPr>
        <w:tblW w:w="4664" w:type="dxa"/>
        <w:jc w:val="left"/>
        <w:tblInd w:w="0" w:type="dxa"/>
        <w:tblLayout w:type="fixed"/>
        <w:tblCellMar>
          <w:top w:w="0" w:type="dxa"/>
          <w:left w:w="0" w:type="dxa"/>
          <w:bottom w:w="0" w:type="dxa"/>
          <w:right w:w="0" w:type="dxa"/>
        </w:tblCellMar>
      </w:tblPr>
      <w:tblGrid>
        <w:gridCol w:w="1126"/>
        <w:gridCol w:w="109"/>
        <w:gridCol w:w="242"/>
        <w:gridCol w:w="853"/>
        <w:gridCol w:w="109"/>
        <w:gridCol w:w="196"/>
        <w:gridCol w:w="691"/>
        <w:gridCol w:w="346"/>
        <w:gridCol w:w="196"/>
        <w:gridCol w:w="796"/>
      </w:tblGrid>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March 29, 2025</w:t>
            </w:r>
          </w:p>
        </w:tc>
      </w:tr>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366,143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337,348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703,491</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258,703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265,823</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624,846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344,468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969,314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shd w:fill="FFFF00" w:val="clear"/>
        </w:rPr>
      </w:pPr>
      <w:r>
        <w:rPr>
          <w:shd w:fill="FFFF00" w:val="clea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(3) ACQUISITIONS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of Businesses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On January 12, 2026, the Company acquired the remaining 80% ownership interest in RMDS Innovation, Inc., a Quebec-based technology company, for total purchase consideration of approximately $15,428, including working capital adjustments. The consideration transferred was denominated in Canadian dollars and translated into U.S. dollars using the spot exchange rate in effect on the acquisition date. The consideration transferred included contingent consideration with an acquisition-date fair value of approximately $2,481, payable in two future earn-out installments based on the achievement of specified performance targets. The contingent consideration is classified as a liability and recorded in “Other non-current liabilities” in the Condensed Consolidated Balance Sheets. In connection with the acquisition, the Company remeasured its previously held equity method investment to fair value as of the acquisition date and recognized a gain of approximately $1,557 within “</w:t>
      </w:r>
      <w:r>
        <w:rPr>
          <w:rFonts w:ascii="Times New Roman;Times;serif" w:hAnsi="Times New Roman;Times;serif"/>
          <w:b w:val="false"/>
          <w:i w:val="false"/>
          <w:caps w:val="false"/>
          <w:smallCaps w:val="false"/>
          <w:sz w:val="20"/>
        </w:rPr>
        <w:t>Other</w:t>
      </w:r>
      <w:r>
        <w:rPr>
          <w:rFonts w:ascii="Times New Roman;Times;serif" w:hAnsi="Times New Roman;Times;serif"/>
          <w:sz w:val="20"/>
        </w:rPr>
        <w:t>, net” in the Condensed Consolidated Statements of Earnings.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purchase price allocation is preliminary and subject to adjustment within the one-year measurement period as additional information becomes available. Approximately $16,653 of the purchase price has been classified as goodwill, which is not deductible for income tax purposes and is included in the Agriculture segment. The amounts allocated to goodwill were primarily attributable to anticipated synergies and other intangibles that do not qualify for separate recognition, such as an assembled workforce.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results of this acquisition are included in the Agriculture segment and were not material to the Condensed Consolidated Statements of Earnings for the thirteen weeks ended March 28,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of Redeemable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Solbras Energia Solar do Brasil S.A. to acquire the remaining 45% ownership interest and entered into a revised shareholder purchase agreement with a final redemption amount of approximately 79,000 Brazilian reais ($14,246 U.S. dollars). Payment of this amount was made in the fourth quarter of fiscal 2025, thereby settling the related redeemable noncontrolling interest. The redemption resulted in an increase to “Retained earnings” of approximately $11,997 and increased diluted earnings per share by $0.61 and $0.60 for the thirteen and fifty-two weeks ended December 27,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ConcealFab, Inc. to acquire the remaining 40% ownership interest outside of the existing redemption rights period. The Company entered into revised shareholder purchase agreements with each minority shareholder for an aggregate purchase price of approximately $81,822. Approximately $72,900 of this amount was paid during the fourth quarter of fiscal 2025 and approximately $8,922 was paid during the first quarter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third quarter of fiscal 2025, following the exercise of put options by the minority shareholders, the Company acquired an additional approximately 30% ownership interest of Valmont Irrigation Argentina B.V. for $14,624.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transactions involved acquiring additional shares of consolidated subsidiaries without resulting in changes in control.</w:t>
      </w:r>
    </w:p>
    <w:p>
      <w:pPr>
        <w:pStyle w:val="TextBody"/>
        <w:bidi w:val="0"/>
        <w:spacing w:before="0" w:after="240"/>
        <w:ind w:left="0" w:right="0" w:hanging="0"/>
        <w:jc w:val="left"/>
        <w:rPr>
          <w:rFonts w:ascii="Times New Roman;Times;serif" w:hAnsi="Times New Roman;Times;serif"/>
          <w:b/>
          <w:sz w:val="20"/>
        </w:rPr>
      </w:pPr>
      <w:bookmarkStart w:id="676" w:name="Tc_mvSE9lzpdEaQU_PbqRifeg_6_5"/>
      <w:bookmarkStart w:id="677" w:name="Tc_Mg61FXAc0U-9lN68h7jXPg_6_2"/>
      <w:bookmarkStart w:id="678" w:name="Tc_AuvbxGlJKE2fp4JX3tmkQQ_6_0"/>
      <w:bookmarkStart w:id="679" w:name="Tc_b2YDosy9AEqlt19I2SDk7A_5_0"/>
      <w:bookmarkStart w:id="680" w:name="Tc_gw3yNoRKq0qXEa8FnnFSQg_4_0"/>
      <w:bookmarkStart w:id="681" w:name="Tc_ilNKUma5s022dne_O5Xk8w_3_5"/>
      <w:bookmarkStart w:id="682" w:name="Tc__WGTeV93TE-KXbjrYtX80Q_3_2"/>
      <w:bookmarkStart w:id="683" w:name="Tc_44zY1cvecUGbEEivYSP0dA_3_0"/>
      <w:bookmarkStart w:id="684" w:name="Tc_XpIRx2LbKkSm_Ym-Q_1D9g_2_5"/>
      <w:bookmarkStart w:id="685" w:name="Tc_sqln9Naiikiz2dTyFI4ViQ_2_2"/>
      <w:bookmarkStart w:id="686" w:name="Tc_qFO1D76V4UyBpkm8PZ-1Wg_1_5"/>
      <w:bookmarkStart w:id="687" w:name="Tc_sAOdSAXtKUmahaZT1tHY9A_1_2"/>
      <w:bookmarkEnd w:id="676"/>
      <w:bookmarkEnd w:id="677"/>
      <w:bookmarkEnd w:id="678"/>
      <w:bookmarkEnd w:id="679"/>
      <w:bookmarkEnd w:id="680"/>
      <w:bookmarkEnd w:id="681"/>
      <w:bookmarkEnd w:id="682"/>
      <w:bookmarkEnd w:id="683"/>
      <w:bookmarkEnd w:id="684"/>
      <w:bookmarkEnd w:id="685"/>
      <w:bookmarkEnd w:id="686"/>
      <w:bookmarkEnd w:id="687"/>
      <w:r>
        <w:rPr>
          <w:rFonts w:ascii="Times New Roman;Times;serif" w:hAnsi="Times New Roman;Times;serif"/>
          <w:b/>
          <w:sz w:val="20"/>
        </w:rPr>
        <w:t>(4) 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are valued at the lower of cost or net realizable value. Cost is determined using either the first-in, first-out method or the weighted average cost method, depending on inventory management practices at each location. As of March 28, 2026 and December 27, 2025, inventories, net of reserves, consisted of the following:</w:t>
      </w:r>
    </w:p>
    <w:p>
      <w:pPr>
        <w:pStyle w:val="TextBody"/>
        <w:bidi w:val="0"/>
        <w:spacing w:before="0" w:after="0"/>
        <w:ind w:left="0" w:right="0" w:hanging="0"/>
        <w:jc w:val="left"/>
        <w:rPr/>
      </w:pPr>
      <w:r>
        <w:rPr/>
        <w:t>​</w:t>
      </w:r>
    </w:p>
    <w:tbl>
      <w:tblPr>
        <w:tblW w:w="5108" w:type="dxa"/>
        <w:jc w:val="left"/>
        <w:tblInd w:w="0" w:type="dxa"/>
        <w:tblLayout w:type="fixed"/>
        <w:tblCellMar>
          <w:top w:w="0" w:type="dxa"/>
          <w:left w:w="0" w:type="dxa"/>
          <w:bottom w:w="0" w:type="dxa"/>
          <w:right w:w="0" w:type="dxa"/>
        </w:tblCellMar>
      </w:tblPr>
      <w:tblGrid>
        <w:gridCol w:w="2581"/>
        <w:gridCol w:w="109"/>
        <w:gridCol w:w="196"/>
        <w:gridCol w:w="691"/>
        <w:gridCol w:w="346"/>
        <w:gridCol w:w="234"/>
        <w:gridCol w:w="951"/>
      </w:tblGrid>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Raw materials and purchased parts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322,130</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253,594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37,881</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36,388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Finished and manufactured goods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227,704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276,414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inventories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587,715</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566,396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the Company’s inventory reserves were $66,908 and $68,001, respectively.</w:t>
      </w:r>
    </w:p>
    <w:p>
      <w:pPr>
        <w:pStyle w:val="TextBody"/>
        <w:bidi w:val="0"/>
        <w:spacing w:before="0" w:after="240"/>
        <w:ind w:left="0" w:right="0" w:hanging="0"/>
        <w:jc w:val="left"/>
        <w:rPr>
          <w:rFonts w:ascii="Times New Roman;Times;serif" w:hAnsi="Times New Roman;Times;serif"/>
          <w:b/>
          <w:sz w:val="20"/>
        </w:rPr>
      </w:pPr>
      <w:bookmarkStart w:id="688" w:name="Tc_a4rq1KjuRE-ML9-3oEPafQ_7_8"/>
      <w:bookmarkStart w:id="689" w:name="Tc_pBw41VJbVUimYj5NGWSxsQ_7_5"/>
      <w:bookmarkStart w:id="690" w:name="Tc_jSsbUvVKCk-8iEFv9OxZiw_7_2"/>
      <w:bookmarkStart w:id="691" w:name="Tc_uo7-4EtubEOHjjtDvNx2gQ_7_0"/>
      <w:bookmarkStart w:id="692" w:name="Tc_xH8dEx29Zke0ozYcSBwz-Q_6_0"/>
      <w:bookmarkStart w:id="693" w:name="Tc_lQ4CjGsNokeCk7N3GZPngA_5_3"/>
      <w:bookmarkStart w:id="694" w:name="Tc_2sNY_TvH3kKIUlUaLRw2nQ_5_0"/>
      <w:bookmarkStart w:id="695" w:name="Tc_pBX4JHo6A0CDiEVUt55Z3Q_4_0"/>
      <w:bookmarkStart w:id="696" w:name="Tc_6iQuF7AIVkG8rPAz1DAPQA_3_0"/>
      <w:bookmarkStart w:id="697" w:name="Tc_S-LafnZ7L06qqhrp9E-LEw_2_8"/>
      <w:bookmarkStart w:id="698" w:name="Tc_YzLQHjI_8kSLTCuw0On-rQ_2_5"/>
      <w:bookmarkStart w:id="699" w:name="Tc_zRJ5829ePkGHAggKDturdQ_2_2"/>
      <w:bookmarkStart w:id="700" w:name="Tc_2OsN-ekpOkK86j0x6Zga3g_2_0"/>
      <w:bookmarkStart w:id="701" w:name="Tc_skjQw16G5Um-yZnvFrRq8w_1_8"/>
      <w:bookmarkStart w:id="702" w:name="Tc_kewpJfbC20qcEko64BYEbg_1_5"/>
      <w:bookmarkStart w:id="703" w:name="Tc_pYL04eu8NUa1oTQTnJamgw_1_2"/>
      <w:bookmarkStart w:id="704" w:name="_1980a51d_785f_4c5b_bf05_898fe0d12746"/>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rFonts w:ascii="Times New Roman;Times;serif" w:hAnsi="Times New Roman;Times;serif"/>
          <w:b/>
          <w:sz w:val="20"/>
        </w:rPr>
        <w:t>(5) GOODWILL AND OTHER INTANGIBLE ASSETS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the carrying amounts of goodwill by segment were as follows:</w:t>
      </w:r>
    </w:p>
    <w:tbl>
      <w:tblPr>
        <w:tblW w:w="7269" w:type="dxa"/>
        <w:jc w:val="left"/>
        <w:tblInd w:w="0" w:type="dxa"/>
        <w:tblLayout w:type="fixed"/>
        <w:tblCellMar>
          <w:top w:w="0" w:type="dxa"/>
          <w:left w:w="0" w:type="dxa"/>
          <w:bottom w:w="0" w:type="dxa"/>
          <w:right w:w="0" w:type="dxa"/>
        </w:tblCellMar>
      </w:tblPr>
      <w:tblGrid>
        <w:gridCol w:w="2956"/>
        <w:gridCol w:w="346"/>
        <w:gridCol w:w="251"/>
        <w:gridCol w:w="965"/>
        <w:gridCol w:w="346"/>
        <w:gridCol w:w="196"/>
        <w:gridCol w:w="811"/>
        <w:gridCol w:w="346"/>
        <w:gridCol w:w="196"/>
        <w:gridCol w:w="856"/>
      </w:tblGrid>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balance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481,838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805,205</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(114,251)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(234,251)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203,367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570,954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16,653</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March 28, 2026</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366,289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220,441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586,730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05" w:name="Tc_VkaUGDFtpEODPYTNDqEINw_11_11"/>
      <w:bookmarkStart w:id="706" w:name="Tc_oQ-Lp5J970OsLhPyQdZTLw_11_8"/>
      <w:bookmarkStart w:id="707" w:name="Tc_9PnLh_4ZskCYYfwEtnF8Fw_11_5"/>
      <w:bookmarkStart w:id="708" w:name="Tc_s62llv4PLUu7nJXJgWOrrw_11_2"/>
      <w:bookmarkStart w:id="709" w:name="Tc_sIf-9pG6AkmZGuANRT_UVw_10_12"/>
      <w:bookmarkStart w:id="710" w:name="Tc_LYwSw3QmXkWNmQzvsKeS4w_10_6"/>
      <w:bookmarkStart w:id="711" w:name="Tc_ByCqLOZxYkqCFugk_VMO7w_10_0"/>
      <w:bookmarkStart w:id="712" w:name="Tc_b-fQ-QUBIkKsS6qL4oqPzQ_9_0"/>
      <w:bookmarkStart w:id="713" w:name="Tc_comi41Apc0-FMc1fFV68yg_8_0"/>
      <w:bookmarkStart w:id="714" w:name="Tc_SAJeLVGuskWnHB4sMOvtHg_7_0"/>
      <w:bookmarkStart w:id="715" w:name="Tc_Md_s5sh_OEuBqTVJCPvy5A_6_11"/>
      <w:bookmarkStart w:id="716" w:name="Tc_LOLfkZ7RP0GdG5h0WJoQaw_6_8"/>
      <w:bookmarkStart w:id="717" w:name="Tc_EQt634CAlUmAagv7D8rpdg_6_5"/>
      <w:bookmarkStart w:id="718" w:name="Tc_yr9Ov6AiPUWhoWd-hAb_jQ_6_2"/>
      <w:bookmarkStart w:id="719" w:name="Tc_VYXmwBCcSUqPlozdPc5gjw_6_0"/>
      <w:bookmarkStart w:id="720" w:name="Tc_muRySz53CEubw3T5Ail0CQ_5_0"/>
      <w:bookmarkStart w:id="721" w:name="Tc_QFJTb17yJEaQggjXc-dO9g_4_11"/>
      <w:bookmarkStart w:id="722" w:name="Tc_cZSfCK2OtEiNnrFRSlxerw_4_8"/>
      <w:bookmarkStart w:id="723" w:name="Tc_4HJToSFnOUW1SSmATWo8iA_4_5"/>
      <w:bookmarkStart w:id="724" w:name="Tc_dxOYCramE0WGMvZsmMcgFA_4_2"/>
      <w:bookmarkStart w:id="725" w:name="Tc_YhDvVhh6hEqWDlpD8oBigA_3_11"/>
      <w:bookmarkStart w:id="726" w:name="Tc_xyqxw5kX40C6Jaos5naW1Q_3_8"/>
      <w:bookmarkStart w:id="727" w:name="Tc_8A8ejnrIckKyLLCJcCLyIg_3_5"/>
      <w:bookmarkStart w:id="728" w:name="Tc_XNhwTAfXXEqC9sz-zaSLkQ_3_2"/>
      <w:bookmarkStart w:id="729" w:name="Tc_o3DQvlTt10GOLFSlnSqwrw_2_8"/>
      <w:bookmarkStart w:id="730" w:name="Tc_sOwHFAjQgkeAU9kGNPlXfw_2_2"/>
      <w:bookmarkStart w:id="731" w:name="Tc_HxYAB1XkkEK2EbuCNeF-gA_1_8"/>
      <w:bookmarkStart w:id="732" w:name="Tc_3xFg5Olh8EeDABnhlUQ_FQ_1_2"/>
      <w:bookmarkStart w:id="733" w:name="Tc_VUk1j_DaJkeTcX5I1S26xQ_4_8"/>
      <w:bookmarkStart w:id="734" w:name="Tc_xDkkCU_OF06wLlcXLQ0U_A_4_5"/>
      <w:bookmarkStart w:id="735" w:name="Tc_hWYvGrGjV02MjHA8EjmRFg_4_2"/>
      <w:bookmarkStart w:id="736" w:name="Tc_umQ6hREMqUanBxw6Cb7NTA_4_0"/>
      <w:bookmarkStart w:id="737" w:name="Tc_vZMqWJlYt02pyrsDywgt4A_3_0"/>
      <w:bookmarkStart w:id="738" w:name="Tc_D7zahOMPrU2-wznMUZ6buQ_2_8"/>
      <w:bookmarkStart w:id="739" w:name="Tc_aP6zJxkALkyKjU_slAQLSw_2_5"/>
      <w:bookmarkStart w:id="740" w:name="Tc_38TR_Q1apUybhYIhcjGWaQ_2_2"/>
      <w:bookmarkStart w:id="741" w:name="Tc_hz1wLXQWw0aTbs5zDdXNDg_2_0"/>
      <w:bookmarkStart w:id="742" w:name="Tc_bFPP_FhWFUOUNL9gfuWUjg_1_8"/>
      <w:bookmarkStart w:id="743" w:name="Tc_ByFVTWFFAk6TOUvl3-roNQ_1_5"/>
      <w:bookmarkStart w:id="744" w:name="Tc_9RZeIJzXIEalGW491OZk6g_1_2"/>
      <w:bookmarkStart w:id="745" w:name="_7bb72197_487c_4d11_89c7_5dbb27eeba8e"/>
      <w:bookmarkStart w:id="746" w:name="Tc_VkaUGDFtpEODPYTNDqEINw_11_11"/>
      <w:bookmarkStart w:id="747" w:name="Tc_oQ-Lp5J970OsLhPyQdZTLw_11_8"/>
      <w:bookmarkStart w:id="748" w:name="Tc_9PnLh_4ZskCYYfwEtnF8Fw_11_5"/>
      <w:bookmarkStart w:id="749" w:name="Tc_s62llv4PLUu7nJXJgWOrrw_11_2"/>
      <w:bookmarkStart w:id="750" w:name="Tc_sIf-9pG6AkmZGuANRT_UVw_10_12"/>
      <w:bookmarkStart w:id="751" w:name="Tc_LYwSw3QmXkWNmQzvsKeS4w_10_6"/>
      <w:bookmarkStart w:id="752" w:name="Tc_ByCqLOZxYkqCFugk_VMO7w_10_0"/>
      <w:bookmarkStart w:id="753" w:name="Tc_b-fQ-QUBIkKsS6qL4oqPzQ_9_0"/>
      <w:bookmarkStart w:id="754" w:name="Tc_comi41Apc0-FMc1fFV68yg_8_0"/>
      <w:bookmarkStart w:id="755" w:name="Tc_SAJeLVGuskWnHB4sMOvtHg_7_0"/>
      <w:bookmarkStart w:id="756" w:name="Tc_Md_s5sh_OEuBqTVJCPvy5A_6_11"/>
      <w:bookmarkStart w:id="757" w:name="Tc_LOLfkZ7RP0GdG5h0WJoQaw_6_8"/>
      <w:bookmarkStart w:id="758" w:name="Tc_EQt634CAlUmAagv7D8rpdg_6_5"/>
      <w:bookmarkStart w:id="759" w:name="Tc_yr9Ov6AiPUWhoWd-hAb_jQ_6_2"/>
      <w:bookmarkStart w:id="760" w:name="Tc_VYXmwBCcSUqPlozdPc5gjw_6_0"/>
      <w:bookmarkStart w:id="761" w:name="Tc_muRySz53CEubw3T5Ail0CQ_5_0"/>
      <w:bookmarkStart w:id="762" w:name="Tc_QFJTb17yJEaQggjXc-dO9g_4_11"/>
      <w:bookmarkStart w:id="763" w:name="Tc_cZSfCK2OtEiNnrFRSlxerw_4_8"/>
      <w:bookmarkStart w:id="764" w:name="Tc_4HJToSFnOUW1SSmATWo8iA_4_5"/>
      <w:bookmarkStart w:id="765" w:name="Tc_dxOYCramE0WGMvZsmMcgFA_4_2"/>
      <w:bookmarkStart w:id="766" w:name="Tc_YhDvVhh6hEqWDlpD8oBigA_3_11"/>
      <w:bookmarkStart w:id="767" w:name="Tc_xyqxw5kX40C6Jaos5naW1Q_3_8"/>
      <w:bookmarkStart w:id="768" w:name="Tc_8A8ejnrIckKyLLCJcCLyIg_3_5"/>
      <w:bookmarkStart w:id="769" w:name="Tc_XNhwTAfXXEqC9sz-zaSLkQ_3_2"/>
      <w:bookmarkStart w:id="770" w:name="Tc_o3DQvlTt10GOLFSlnSqwrw_2_8"/>
      <w:bookmarkStart w:id="771" w:name="Tc_sOwHFAjQgkeAU9kGNPlXfw_2_2"/>
      <w:bookmarkStart w:id="772" w:name="Tc_HxYAB1XkkEK2EbuCNeF-gA_1_8"/>
      <w:bookmarkStart w:id="773" w:name="Tc_3xFg5Olh8EeDABnhlUQ_FQ_1_2"/>
      <w:bookmarkStart w:id="774" w:name="Tc_VUk1j_DaJkeTcX5I1S26xQ_4_8"/>
      <w:bookmarkStart w:id="775" w:name="Tc_xDkkCU_OF06wLlcXLQ0U_A_4_5"/>
      <w:bookmarkStart w:id="776" w:name="Tc_hWYvGrGjV02MjHA8EjmRFg_4_2"/>
      <w:bookmarkStart w:id="777" w:name="Tc_umQ6hREMqUanBxw6Cb7NTA_4_0"/>
      <w:bookmarkStart w:id="778" w:name="Tc_vZMqWJlYt02pyrsDywgt4A_3_0"/>
      <w:bookmarkStart w:id="779" w:name="Tc_D7zahOMPrU2-wznMUZ6buQ_2_8"/>
      <w:bookmarkStart w:id="780" w:name="Tc_aP6zJxkALkyKjU_slAQLSw_2_5"/>
      <w:bookmarkStart w:id="781" w:name="Tc_38TR_Q1apUybhYIhcjGWaQ_2_2"/>
      <w:bookmarkStart w:id="782" w:name="Tc_hz1wLXQWw0aTbs5zDdXNDg_2_0"/>
      <w:bookmarkStart w:id="783" w:name="Tc_bFPP_FhWFUOUNL9gfuWUjg_1_8"/>
      <w:bookmarkStart w:id="784" w:name="Tc_ByFVTWFFAk6TOUvl3-roNQ_1_5"/>
      <w:bookmarkStart w:id="785" w:name="Tc_9RZeIJzXIEalGW491OZk6g_1_2"/>
      <w:bookmarkStart w:id="786" w:name="_7bb72197_487c_4d11_89c7_5dbb27eeba8e"/>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tbl>
      <w:tblPr>
        <w:tblW w:w="6777" w:type="dxa"/>
        <w:jc w:val="left"/>
        <w:tblInd w:w="0" w:type="dxa"/>
        <w:tblLayout w:type="fixed"/>
        <w:tblCellMar>
          <w:top w:w="0" w:type="dxa"/>
          <w:left w:w="0" w:type="dxa"/>
          <w:bottom w:w="0" w:type="dxa"/>
          <w:right w:w="0" w:type="dxa"/>
        </w:tblCellMar>
      </w:tblPr>
      <w:tblGrid>
        <w:gridCol w:w="2701"/>
        <w:gridCol w:w="109"/>
        <w:gridCol w:w="251"/>
        <w:gridCol w:w="965"/>
        <w:gridCol w:w="346"/>
        <w:gridCol w:w="196"/>
        <w:gridCol w:w="811"/>
        <w:gridCol w:w="346"/>
        <w:gridCol w:w="196"/>
        <w:gridCol w:w="856"/>
      </w:tblGrid>
      <w:tr>
        <w:trPr/>
        <w:tc>
          <w:tcPr>
            <w:tcW w:w="27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balance as of March 28, 2026</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480,540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340,441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820,981</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10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(114,251)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(120,000)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(234,251)</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March 28, 2026</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366,289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220,441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586,730</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the components of other intangible assets were as follows:</w:t>
      </w:r>
    </w:p>
    <w:p>
      <w:pPr>
        <w:pStyle w:val="TextBody"/>
        <w:bidi w:val="0"/>
        <w:spacing w:before="0" w:after="0"/>
        <w:ind w:left="0" w:right="0" w:hanging="0"/>
        <w:jc w:val="left"/>
        <w:rPr/>
      </w:pPr>
      <w:r>
        <w:rPr/>
        <w:t>​</w:t>
      </w:r>
    </w:p>
    <w:tbl>
      <w:tblPr>
        <w:tblW w:w="7836" w:type="dxa"/>
        <w:jc w:val="left"/>
        <w:tblInd w:w="0" w:type="dxa"/>
        <w:tblLayout w:type="fixed"/>
        <w:tblCellMar>
          <w:top w:w="0" w:type="dxa"/>
          <w:left w:w="0" w:type="dxa"/>
          <w:bottom w:w="0" w:type="dxa"/>
          <w:right w:w="0" w:type="dxa"/>
        </w:tblCellMar>
      </w:tblPr>
      <w:tblGrid>
        <w:gridCol w:w="2581"/>
        <w:gridCol w:w="346"/>
        <w:gridCol w:w="196"/>
        <w:gridCol w:w="691"/>
        <w:gridCol w:w="346"/>
        <w:gridCol w:w="248"/>
        <w:gridCol w:w="878"/>
        <w:gridCol w:w="146"/>
        <w:gridCol w:w="196"/>
        <w:gridCol w:w="691"/>
        <w:gridCol w:w="346"/>
        <w:gridCol w:w="231"/>
        <w:gridCol w:w="940"/>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 2026</w:t>
            </w:r>
          </w:p>
        </w:tc>
        <w:tc>
          <w:tcPr>
            <w:tcW w:w="146" w:type="dxa"/>
            <w:tcBorders/>
            <w:vAlign w:val="center"/>
          </w:tcPr>
          <w:p>
            <w:pPr>
              <w:pStyle w:val="TableContents"/>
              <w:bidi w:val="0"/>
              <w:spacing w:before="0" w:after="0"/>
              <w:ind w:left="0" w:right="0" w:hanging="0"/>
              <w:jc w:val="center"/>
              <w:rPr/>
            </w:pPr>
            <w:r>
              <w:rPr/>
              <w:t> </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 2025</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Amortizing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center"/>
              <w:rPr/>
            </w:pPr>
            <w:r>
              <w:rPr/>
              <w:t>​</w:t>
            </w:r>
          </w:p>
        </w:tc>
        <w:tc>
          <w:tcPr>
            <w:tcW w:w="878"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940" w:type="dxa"/>
            <w:tcBorders/>
            <w:shd w:fill="CCEEFF" w:val="clear"/>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relationships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219,244</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167,088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219,631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165,514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Patents and proprietary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29,217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28,166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Non-amortizing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names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54,918</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55,412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303,991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184,228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303,823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182,482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weighted-average remaining useful life of amortizing intangible assets is approximately eight years. Amortization expenses for the thirteen weeks ended March 28, 2026 and March 29, 2025 were $2,699 and $2,858, respectively. Amortization expense is expected to average $8,330 annually </w:t>
      </w:r>
      <w:r>
        <w:rPr>
          <w:rFonts w:ascii="Times New Roman;Times;serif" w:hAnsi="Times New Roman;Times;serif"/>
          <w:b w:val="false"/>
          <w:i w:val="false"/>
          <w:caps w:val="false"/>
          <w:smallCaps w:val="false"/>
          <w:sz w:val="20"/>
        </w:rPr>
        <w:t>over</w:t>
      </w:r>
      <w:r>
        <w:rPr>
          <w:rFonts w:ascii="Times New Roman;Times;serif" w:hAnsi="Times New Roman;Times;serif"/>
          <w:sz w:val="20"/>
        </w:rPr>
        <w:t xml:space="preserve"> the </w:t>
      </w:r>
      <w:r>
        <w:rPr>
          <w:rFonts w:ascii="Times New Roman;Times;serif" w:hAnsi="Times New Roman;Times;serif"/>
          <w:b w:val="false"/>
          <w:i w:val="false"/>
          <w:caps w:val="false"/>
          <w:smallCaps w:val="false"/>
          <w:sz w:val="20"/>
        </w:rPr>
        <w:t>next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fiscal</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years</w:t>
      </w:r>
      <w:r>
        <w:rPr>
          <w:rFonts w:ascii="Times New Roman;Times;serif" w:hAnsi="Times New Roman;Times;serif"/>
          <w:sz w:val="20"/>
        </w:rPr>
        <w:t>, based on amortizing intangible assets reported as of March 28, 2026.</w:t>
      </w:r>
    </w:p>
    <w:p>
      <w:pPr>
        <w:pStyle w:val="TextBody"/>
        <w:bidi w:val="0"/>
        <w:spacing w:before="0" w:after="240"/>
        <w:ind w:left="0" w:right="0" w:hanging="0"/>
        <w:jc w:val="left"/>
        <w:rPr>
          <w:rFonts w:ascii="Times New Roman;Times;serif" w:hAnsi="Times New Roman;Times;serif"/>
          <w:b/>
          <w:sz w:val="20"/>
        </w:rPr>
      </w:pPr>
      <w:bookmarkStart w:id="787" w:name="Tc_KeMw9QTV4U-x-yx8RcjRMA_7_7"/>
      <w:bookmarkStart w:id="788" w:name="Tc_4Z15Ebe-F0Od6mtZfh1lYA_7_4"/>
      <w:bookmarkStart w:id="789" w:name="Tc_9md_JxWlCkyEOPWyNcu4xA_6_0"/>
      <w:bookmarkStart w:id="790" w:name="Tc_B0ivUWOUDE-U99ClOB9NeA_5_0"/>
      <w:bookmarkStart w:id="791" w:name="Tc_QL-7LF2JqEeNPoEIsK1WSA_4_7"/>
      <w:bookmarkStart w:id="792" w:name="Tc_3SK-fBZPpkqnDAV9Pg1mug_4_4"/>
      <w:bookmarkStart w:id="793" w:name="Tc_FPfBtYk4zUKsD1dJdsSQxw_4_0"/>
      <w:bookmarkStart w:id="794" w:name="Tc_InexGPJehEu0a5lA6cmqdg_3_7"/>
      <w:bookmarkStart w:id="795" w:name="Tc_VbRn-YAo-kSdr04KKDMGYQ_3_4"/>
      <w:bookmarkStart w:id="796" w:name="Tc_FbFvAf6xMEiSPmjIRglK1g_3_2"/>
      <w:bookmarkStart w:id="797" w:name="Tc_Etis-eAt10GXvEubQrCCXQ_3_0"/>
      <w:bookmarkStart w:id="798" w:name="Tc_eS5T-HLD-kO7_mHjv_PstA_2_7"/>
      <w:bookmarkStart w:id="799" w:name="Tc_Ra1aejeCdUqnBLDySa22_A_2_4"/>
      <w:bookmarkStart w:id="800" w:name="Tc_sTePFq4TyUqeskMtp8_OAg_2_2"/>
      <w:bookmarkStart w:id="801" w:name="Tc_8SXKBNfIrkejeT-zj5IhiQ_2_0"/>
      <w:bookmarkStart w:id="802" w:name="Tc_WL7tTW3YIEC9goO0herS-A_1_4"/>
      <w:bookmarkStart w:id="803" w:name="Tc_jco8jJbD_ECg_hIquhQvDQ_1_2"/>
      <w:bookmarkStart w:id="804" w:name="Tc_OcA5bF5VBkevnzf4V_L82w_7_7"/>
      <w:bookmarkStart w:id="805" w:name="Tc_h5RFP9WgcE64yB884NPWKw_7_4"/>
      <w:bookmarkStart w:id="806" w:name="Tc_Hon4FH9uFEeiqv4hsbZExQ_6_2"/>
      <w:bookmarkStart w:id="807" w:name="Tc_yGdI1m7EpUe_ynJ2O8biRw_6_0"/>
      <w:bookmarkStart w:id="808" w:name="Tc_60gyWQDlB0qKtfvrTtYuow_5_2"/>
      <w:bookmarkStart w:id="809" w:name="Tc_7TwNq71vDk6VGO65tNNVJw_5_0"/>
      <w:bookmarkStart w:id="810" w:name="Tc_GMxk8k2V2kWMcLhokpf_MQ_4_2"/>
      <w:bookmarkStart w:id="811" w:name="Tc_CD98fFfmLki2yviTQxI6IQ_4_0"/>
      <w:bookmarkStart w:id="812" w:name="Tc_OZTQaLTKRE6NViedDfM3yA_3_7"/>
      <w:bookmarkStart w:id="813" w:name="Tc_N1soqPgI8Eaplv1pTSbBbg_3_4"/>
      <w:bookmarkStart w:id="814" w:name="Tc_INh8ezuyDUyP0nfNWD51eQ_3_2"/>
      <w:bookmarkStart w:id="815" w:name="Tc_IhTas6NMSUytwTMNA_XTSA_3_0"/>
      <w:bookmarkStart w:id="816" w:name="Tc_ZdFBBLe9yEWZ3UCDtHpxSw_2_7"/>
      <w:bookmarkStart w:id="817" w:name="Tc_qBkKys5lW0eh1ZBMe7dnBg_2_4"/>
      <w:bookmarkStart w:id="818" w:name="Tc_VgRLK1XsuE-3bHONC0QpaA_2_2"/>
      <w:bookmarkStart w:id="819" w:name="Tc_5ByDBwfQiUeXQKkQPcWDlA_2_0"/>
      <w:bookmarkStart w:id="820" w:name="Tc_uBbFvZ5mxkyYX-yrsG7QIw_1_7"/>
      <w:bookmarkStart w:id="821" w:name="Tc_F9aDEG3rBEynboI0CuMj5g_1_4"/>
      <w:bookmarkStart w:id="822" w:name="Tc_DvaBkuKOVUep2DKFYtIVcA_1_2"/>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ascii="Times New Roman;Times;serif" w:hAnsi="Times New Roman;Times;serif"/>
          <w:b/>
          <w:sz w:val="20"/>
        </w:rPr>
        <w:t>(6) 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derivative instruments as of March 28, 2026 and December 27, 2025 was as follows:</w:t>
      </w:r>
    </w:p>
    <w:p>
      <w:pPr>
        <w:pStyle w:val="TextBody"/>
        <w:bidi w:val="0"/>
        <w:spacing w:before="0" w:after="0"/>
        <w:ind w:left="0" w:right="0" w:hanging="0"/>
        <w:jc w:val="left"/>
        <w:rPr/>
      </w:pPr>
      <w:r>
        <w:rPr/>
        <w:t>​</w:t>
      </w:r>
    </w:p>
    <w:tbl>
      <w:tblPr>
        <w:tblW w:w="9468" w:type="dxa"/>
        <w:jc w:val="left"/>
        <w:tblInd w:w="0" w:type="dxa"/>
        <w:tblLayout w:type="fixed"/>
        <w:tblCellMar>
          <w:top w:w="0" w:type="dxa"/>
          <w:left w:w="0" w:type="dxa"/>
          <w:bottom w:w="0" w:type="dxa"/>
          <w:right w:w="0" w:type="dxa"/>
        </w:tblCellMar>
      </w:tblPr>
      <w:tblGrid>
        <w:gridCol w:w="3751"/>
        <w:gridCol w:w="346"/>
        <w:gridCol w:w="3046"/>
        <w:gridCol w:w="109"/>
        <w:gridCol w:w="209"/>
        <w:gridCol w:w="676"/>
        <w:gridCol w:w="146"/>
        <w:gridCol w:w="286"/>
        <w:gridCol w:w="899"/>
      </w:tblGrid>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0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Condensed Consolidated</w:t>
            </w:r>
          </w:p>
        </w:tc>
        <w:tc>
          <w:tcPr>
            <w:tcW w:w="109" w:type="dxa"/>
            <w:tcBorders/>
            <w:vAlign w:val="center"/>
          </w:tcPr>
          <w:p>
            <w:pPr>
              <w:pStyle w:val="TableContents"/>
              <w:bidi w:val="0"/>
              <w:spacing w:before="0" w:after="1"/>
              <w:ind w:left="0" w:right="0" w:hanging="0"/>
              <w:jc w:val="center"/>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1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 as hedging instruments:</w:t>
            </w:r>
          </w:p>
        </w:tc>
        <w:tc>
          <w:tcPr>
            <w:tcW w:w="346" w:type="dxa"/>
            <w:tcBorders/>
            <w:vAlign w:val="center"/>
          </w:tcPr>
          <w:p>
            <w:pPr>
              <w:pStyle w:val="TableContents"/>
              <w:bidi w:val="0"/>
              <w:spacing w:before="0" w:after="1"/>
              <w:ind w:left="0" w:right="0" w:hanging="0"/>
              <w:jc w:val="left"/>
              <w:rPr/>
            </w:pPr>
            <w:r>
              <w:rPr/>
              <w:t>  ​ ​ ​</w:t>
            </w:r>
          </w:p>
        </w:tc>
        <w:tc>
          <w:tcPr>
            <w:tcW w:w="30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Sheets location</w:t>
            </w:r>
          </w:p>
        </w:tc>
        <w:tc>
          <w:tcPr>
            <w:tcW w:w="109" w:type="dxa"/>
            <w:tcBorders/>
            <w:vAlign w:val="center"/>
          </w:tcPr>
          <w:p>
            <w:pPr>
              <w:pStyle w:val="TableContents"/>
              <w:bidi w:val="0"/>
              <w:spacing w:before="0" w:after="1"/>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6,466</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1,590</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w:t>
            </w:r>
          </w:p>
        </w:tc>
        <w:tc>
          <w:tcPr>
            <w:tcW w:w="14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vAlign w:val="center"/>
          </w:tcPr>
          <w:p>
            <w:pPr>
              <w:pStyle w:val="TableContents"/>
              <w:bidi w:val="0"/>
              <w:spacing w:before="0" w:after="1"/>
              <w:ind w:left="0" w:right="0" w:hanging="0"/>
              <w:jc w:val="left"/>
              <w:rPr/>
            </w:pPr>
            <w:r>
              <w:rPr/>
              <w:t> </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(6,798)</w:t>
            </w:r>
          </w:p>
        </w:tc>
        <w:tc>
          <w:tcPr>
            <w:tcW w:w="146" w:type="dxa"/>
            <w:tcBorders/>
            <w:vAlign w:val="center"/>
          </w:tcPr>
          <w:p>
            <w:pPr>
              <w:pStyle w:val="TableContents"/>
              <w:bidi w:val="0"/>
              <w:spacing w:before="0" w:after="1"/>
              <w:ind w:left="0" w:right="0" w:hanging="0"/>
              <w:jc w:val="lef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(8,100)</w:t>
            </w:r>
          </w:p>
        </w:tc>
      </w:tr>
      <w:tr>
        <w:trPr/>
        <w:tc>
          <w:tcPr>
            <w:tcW w:w="3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Gains (losses) on derivatives recognized in the Condensed Consolidated Statements of Earnings for the thirteen weeks ended March 28, 2026 and March 29, 2025 were as follows:</w:t>
      </w:r>
    </w:p>
    <w:p>
      <w:pPr>
        <w:pStyle w:val="TextBody"/>
        <w:bidi w:val="0"/>
        <w:spacing w:before="0" w:after="0"/>
        <w:ind w:left="0" w:right="0" w:hanging="0"/>
        <w:jc w:val="left"/>
        <w:rPr/>
      </w:pPr>
      <w:r>
        <w:rPr/>
        <w:t>​</w:t>
      </w:r>
    </w:p>
    <w:tbl>
      <w:tblPr>
        <w:tblW w:w="6985" w:type="dxa"/>
        <w:jc w:val="left"/>
        <w:tblInd w:w="0" w:type="dxa"/>
        <w:tblLayout w:type="fixed"/>
        <w:tblCellMar>
          <w:top w:w="0" w:type="dxa"/>
          <w:left w:w="0" w:type="dxa"/>
          <w:bottom w:w="0" w:type="dxa"/>
          <w:right w:w="0" w:type="dxa"/>
        </w:tblCellMar>
      </w:tblPr>
      <w:tblGrid>
        <w:gridCol w:w="2326"/>
        <w:gridCol w:w="346"/>
        <w:gridCol w:w="2041"/>
        <w:gridCol w:w="109"/>
        <w:gridCol w:w="302"/>
        <w:gridCol w:w="583"/>
        <w:gridCol w:w="348"/>
        <w:gridCol w:w="209"/>
        <w:gridCol w:w="721"/>
      </w:tblGrid>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Condensed Consolidated</w:t>
            </w:r>
          </w:p>
        </w:tc>
        <w:tc>
          <w:tcPr>
            <w:tcW w:w="109" w:type="dxa"/>
            <w:tcBorders/>
            <w:vAlign w:val="center"/>
          </w:tcPr>
          <w:p>
            <w:pPr>
              <w:pStyle w:val="TableContents"/>
              <w:bidi w:val="0"/>
              <w:spacing w:before="0" w:after="1"/>
              <w:ind w:left="0" w:right="0" w:hanging="0"/>
              <w:jc w:val="left"/>
              <w:rPr/>
            </w:pPr>
            <w:r>
              <w:rPr/>
              <w:t>​</w:t>
            </w:r>
          </w:p>
        </w:tc>
        <w:tc>
          <w:tcPr>
            <w:tcW w:w="21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w:t>
            </w:r>
          </w:p>
        </w:tc>
        <w:tc>
          <w:tcPr>
            <w:tcW w:w="34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Statements of</w:t>
            </w:r>
          </w:p>
        </w:tc>
        <w:tc>
          <w:tcPr>
            <w:tcW w:w="109"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8" w:type="dxa"/>
            <w:tcBorders/>
            <w:vAlign w:val="center"/>
          </w:tcPr>
          <w:p>
            <w:pPr>
              <w:pStyle w:val="TableContents"/>
              <w:bidi w:val="0"/>
              <w:spacing w:before="0" w:after="1"/>
              <w:ind w:left="0" w:right="0" w:hanging="0"/>
              <w:jc w:val="center"/>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hedging instruments:</w:t>
            </w:r>
          </w:p>
        </w:tc>
        <w:tc>
          <w:tcPr>
            <w:tcW w:w="346" w:type="dxa"/>
            <w:tcBorders/>
            <w:vAlign w:val="center"/>
          </w:tcPr>
          <w:p>
            <w:pPr>
              <w:pStyle w:val="TableContents"/>
              <w:bidi w:val="0"/>
              <w:spacing w:before="0" w:after="1"/>
              <w:ind w:left="0" w:right="0" w:hanging="0"/>
              <w:jc w:val="left"/>
              <w:rPr/>
            </w:pPr>
            <w:r>
              <w:rPr/>
              <w:t>​</w:t>
            </w:r>
          </w:p>
        </w:tc>
        <w:tc>
          <w:tcPr>
            <w:tcW w:w="20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 location</w:t>
            </w:r>
          </w:p>
        </w:tc>
        <w:tc>
          <w:tcPr>
            <w:tcW w:w="109" w:type="dxa"/>
            <w:tcBorders/>
            <w:vAlign w:val="center"/>
          </w:tcPr>
          <w:p>
            <w:pPr>
              <w:pStyle w:val="TableContents"/>
              <w:bidi w:val="0"/>
              <w:spacing w:before="0" w:after="1"/>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8"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Product 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w:t>
            </w:r>
          </w:p>
        </w:tc>
        <w:tc>
          <w:tcPr>
            <w:tcW w:w="348"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hedge amortization</w:t>
            </w:r>
          </w:p>
        </w:tc>
        <w:tc>
          <w:tcPr>
            <w:tcW w:w="34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right"/>
              <w:rPr/>
            </w:pPr>
            <w:r>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48" w:type="dxa"/>
            <w:tcBorders/>
            <w:vAlign w:val="center"/>
          </w:tcPr>
          <w:p>
            <w:pPr>
              <w:pStyle w:val="TableContents"/>
              <w:bidi w:val="0"/>
              <w:spacing w:before="0" w:after="1"/>
              <w:ind w:left="0" w:right="0" w:hanging="0"/>
              <w:jc w:val="left"/>
              <w:rPr/>
            </w:pPr>
            <w:r>
              <w:rPr/>
              <w:t> </w:t>
            </w:r>
          </w:p>
        </w:tc>
        <w:tc>
          <w:tcPr>
            <w:tcW w:w="209"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w:t>
            </w:r>
          </w:p>
        </w:tc>
        <w:tc>
          <w:tcPr>
            <w:tcW w:w="348" w:type="dxa"/>
            <w:tcBorders/>
            <w:shd w:fill="CCEEFF" w:val="clear"/>
            <w:vAlign w:val="center"/>
          </w:tcPr>
          <w:p>
            <w:pPr>
              <w:pStyle w:val="TableContents"/>
              <w:bidi w:val="0"/>
              <w:spacing w:before="0" w:after="1"/>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w:t>
            </w:r>
          </w:p>
        </w:tc>
        <w:tc>
          <w:tcPr>
            <w:tcW w:w="348"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commodity forward, swap, and option contracts to hedge variability in cash flows related to future purchases. Gains (losses) realized upon settlement are recorded in “Product cost of sales” in the Condensed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823" w:name="Tc_TZNkBTRFck2cIj77_3fjwg_5_9"/>
      <w:bookmarkStart w:id="824" w:name="Tc_XCKKPpyo0EKfDnllmADSZQ_5_5"/>
      <w:bookmarkStart w:id="825" w:name="Tc_8WycR7O8ZkO7hqbVcaRcag_5_2"/>
      <w:bookmarkStart w:id="826" w:name="Tc_0zfbVJkvB0KTQhKqN88I_w_5_0"/>
      <w:bookmarkStart w:id="827" w:name="Tc_9FBH14Khk0yoTA22WFECgg_4_9"/>
      <w:bookmarkStart w:id="828" w:name="Tc_c0ccP_O5z0iZ2AgMpWe4kA_4_5"/>
      <w:bookmarkStart w:id="829" w:name="Tc_Ao-VP1q520K5RS554hSd4A_4_2"/>
      <w:bookmarkStart w:id="830" w:name="Tc_ku8MG30-ykmDnDJO1g_6Kg_4_0"/>
      <w:bookmarkStart w:id="831" w:name="Tc_3ThWn0f5MkmfhmtRULee7Q_3_9"/>
      <w:bookmarkStart w:id="832" w:name="Tc_Wecdce4u6UO6WF_PJk51Mw_3_5"/>
      <w:bookmarkStart w:id="833" w:name="Tc_7GyueLp-4kqu3_RiorSvGw_3_2"/>
      <w:bookmarkStart w:id="834" w:name="Tc_CTVyvfien0G3tbNX4ydWCQ_3_0"/>
      <w:bookmarkStart w:id="835" w:name="Tc_Tv6Zwx2h70iujj7d5o5Q_A_2_9"/>
      <w:bookmarkStart w:id="836" w:name="Tc_RHYkh4i01kS_1a3kDTOcMQ_2_7"/>
      <w:bookmarkStart w:id="837" w:name="Tc_vSWh7Fce9Ee_gt7fClDjMQ_2_5"/>
      <w:bookmarkStart w:id="838" w:name="Tc_3A2Dcb66BkmSqW5cy8rrAg_2_2"/>
      <w:bookmarkStart w:id="839" w:name="Tc_24nSdCO_10Sn3bEigsix4Q_2_0"/>
      <w:bookmarkStart w:id="840" w:name="Tc_icKUOvAgFEKDyzt_uzTWpA_1_9"/>
      <w:bookmarkStart w:id="841" w:name="Tc_bzWm2n3g3E200i0fC7swJA_1_7"/>
      <w:bookmarkStart w:id="842" w:name="Tc_ASwgoveJrkO_mcnZTagggA_1_2"/>
      <w:bookmarkStart w:id="843" w:name="_7c55438e_483c_4784_bcfb_bdf0cfb9171b"/>
      <w:bookmarkStart w:id="844" w:name="Tc_qZbNeaaQhkiDCETAyc2--w_6_7"/>
      <w:bookmarkStart w:id="845" w:name="Tc_z0gfYGR_o0it7M-h6WDN_w_6_5"/>
      <w:bookmarkStart w:id="846" w:name="Tc_Cs7Tdma2RUKdId8Ma5gC0w_6_0"/>
      <w:bookmarkStart w:id="847" w:name="Tc_OG4pwh5SFEyAWd_dHPclzA_5_7"/>
      <w:bookmarkStart w:id="848" w:name="Tc_BeB4nXFYe02Gz9JNZ2XmkQ_5_5"/>
      <w:bookmarkStart w:id="849" w:name="Tc_tcfwYtQZUEW_4ao8YPMeSw_5_0"/>
      <w:bookmarkStart w:id="850" w:name="Tc_5RI5KuaKDkSbL_O373AK7w_4_7"/>
      <w:bookmarkStart w:id="851" w:name="Tc_aVk0tfzgNE6EkujB1PKenw_4_5"/>
      <w:bookmarkStart w:id="852" w:name="Tc_psNbMdHXm0y1bXu472RWPQ_4_0"/>
      <w:bookmarkStart w:id="853" w:name="Tc_ntRqOGiMZEq4VWBCAG9rVg_3_7"/>
      <w:bookmarkStart w:id="854" w:name="Tc_BXb3Xa1yHkaLCKsExUFE2g_3_5"/>
      <w:bookmarkStart w:id="855" w:name="Tc_EFB5wLUmIEil08BXIuZkvw_3_2"/>
      <w:bookmarkStart w:id="856" w:name="Tc_u_Y9ZDv2r0GGCz7VVAIKxg_3_0"/>
      <w:bookmarkStart w:id="857" w:name="Tc_LaJUT3HnvEiN1D8fGbBf1A_2_7"/>
      <w:bookmarkStart w:id="858" w:name="Tc_3hRNDmvygEWfGAYXJVKjTw_2_5"/>
      <w:bookmarkStart w:id="859" w:name="Tc_fTjySM-ghEawxWGddJHYjQ_2_2"/>
      <w:bookmarkStart w:id="860" w:name="Tc_73hFw62PqkOTbBTav-4ucw_2_0"/>
      <w:bookmarkStart w:id="861" w:name="Tc_0YGmHR_7IEy1QjtVW9rrmA_1_5"/>
      <w:bookmarkStart w:id="862" w:name="Tc_QrlFDsAIRUypVLEbAbPQXA_1_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sz w:val="20"/>
        </w:rPr>
        <w:t>Consolidated Statements of Earnings in the period in which the hedged items are consumed. As of March 28, 2026, the details of these contracts were as follows:</w:t>
      </w:r>
    </w:p>
    <w:p>
      <w:pPr>
        <w:pStyle w:val="TextBody"/>
        <w:bidi w:val="0"/>
        <w:spacing w:before="0" w:after="0"/>
        <w:ind w:left="0" w:right="0" w:hanging="0"/>
        <w:jc w:val="left"/>
        <w:rPr/>
      </w:pPr>
      <w:r>
        <w:rPr/>
        <w:t>​</w:t>
      </w:r>
    </w:p>
    <w:tbl>
      <w:tblPr>
        <w:tblW w:w="7371" w:type="dxa"/>
        <w:jc w:val="left"/>
        <w:tblInd w:w="0" w:type="dxa"/>
        <w:tblLayout w:type="fixed"/>
        <w:tblCellMar>
          <w:top w:w="0" w:type="dxa"/>
          <w:left w:w="0" w:type="dxa"/>
          <w:bottom w:w="0" w:type="dxa"/>
          <w:right w:w="0" w:type="dxa"/>
        </w:tblCellMar>
      </w:tblPr>
      <w:tblGrid>
        <w:gridCol w:w="2056"/>
        <w:gridCol w:w="346"/>
        <w:gridCol w:w="196"/>
        <w:gridCol w:w="601"/>
        <w:gridCol w:w="109"/>
        <w:gridCol w:w="1546"/>
        <w:gridCol w:w="146"/>
        <w:gridCol w:w="2371"/>
      </w:tblGrid>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pPr>
            <w:r>
              <w:rPr/>
              <w:t>​</w: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Commodity Type</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 Quantity</w:t>
            </w:r>
          </w:p>
        </w:tc>
        <w:tc>
          <w:tcPr>
            <w:tcW w:w="146" w:type="dxa"/>
            <w:tcBorders/>
            <w:vAlign w:val="center"/>
          </w:tcPr>
          <w:p>
            <w:pPr>
              <w:pStyle w:val="TableContents"/>
              <w:bidi w:val="0"/>
              <w:spacing w:before="0" w:after="1"/>
              <w:ind w:left="0" w:right="0" w:hanging="0"/>
              <w:jc w:val="left"/>
              <w:rPr/>
            </w:pPr>
            <w:r>
              <w:rPr/>
              <w:t>​</w:t>
            </w:r>
          </w:p>
        </w:tc>
        <w:tc>
          <w:tcPr>
            <w:tcW w:w="23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Maturity Dates</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Hot-rolled coil steel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23,074</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22,500 short tons</w:t>
            </w:r>
          </w:p>
        </w:tc>
        <w:tc>
          <w:tcPr>
            <w:tcW w:w="146" w:type="dxa"/>
            <w:tcBorders/>
            <w:shd w:fill="CCEEFF" w:val="clear"/>
            <w:vAlign w:val="center"/>
          </w:tcPr>
          <w:p>
            <w:pPr>
              <w:pStyle w:val="TableContents"/>
              <w:bidi w:val="0"/>
              <w:spacing w:before="0" w:after="1"/>
              <w:ind w:left="0" w:right="0" w:hanging="0"/>
              <w:jc w:val="left"/>
              <w:rPr/>
            </w:pPr>
            <w:r>
              <w:rPr/>
              <w:t> </w:t>
            </w:r>
          </w:p>
        </w:tc>
        <w:tc>
          <w:tcPr>
            <w:tcW w:w="23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2026 to March 2027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580</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135,000 MMBtu</w:t>
            </w:r>
          </w:p>
        </w:tc>
        <w:tc>
          <w:tcPr>
            <w:tcW w:w="1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2026 to March 2027</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Ultra-low-sulfur diesel fuel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10,822</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3,276,000 gallons</w:t>
            </w:r>
          </w:p>
        </w:tc>
        <w:tc>
          <w:tcPr>
            <w:tcW w:w="146" w:type="dxa"/>
            <w:tcBorders/>
            <w:shd w:fill="CCEEFF" w:val="clear"/>
            <w:vAlign w:val="center"/>
          </w:tcPr>
          <w:p>
            <w:pPr>
              <w:pStyle w:val="TableContents"/>
              <w:bidi w:val="0"/>
              <w:spacing w:before="0" w:after="1"/>
              <w:ind w:left="0" w:right="0" w:hanging="0"/>
              <w:jc w:val="left"/>
              <w:rPr/>
            </w:pPr>
            <w:r>
              <w:rPr/>
              <w:t>​</w:t>
            </w:r>
          </w:p>
        </w:tc>
        <w:tc>
          <w:tcPr>
            <w:tcW w:w="23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March 2026 to June 2027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Zinc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8,127</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2,640 metric tons</w:t>
            </w:r>
          </w:p>
        </w:tc>
        <w:tc>
          <w:tcPr>
            <w:tcW w:w="1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March 2026 to December 2027</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Net Investment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manage foreign currency risk associated with its foreign currency investments and reduce interest expenses, the Company uses fixed-for-fixed cross-currency swaps (“CCS”). These swaps convert U.S. dollar-denominated principal and interest payments on a portion of its 5.00% senior unsecured notes due in 2044 into foreign-currency</w:t>
        <w:noBreakHyphen/>
        <w:t>denominated payments. Interest payments are exchanged biannually on April 1 and October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designated the full notional amounts of its CCS as net investment hedges for certain subsidiaries under the spot method. Changes in fair value of the CCS attributable to spot exchange rates are recorded as cumulative foreign currency translation within accumulated other comprehensive loss, while net interest receipts reduce interest expense over the life of the CCS. Key terms as of March 28, 2026 were as follows:</w:t>
      </w:r>
    </w:p>
    <w:tbl>
      <w:tblPr>
        <w:tblW w:w="6372" w:type="dxa"/>
        <w:jc w:val="left"/>
        <w:tblInd w:w="0" w:type="dxa"/>
        <w:tblLayout w:type="fixed"/>
        <w:tblCellMar>
          <w:top w:w="0" w:type="dxa"/>
          <w:left w:w="0" w:type="dxa"/>
          <w:bottom w:w="0" w:type="dxa"/>
          <w:right w:w="0" w:type="dxa"/>
        </w:tblCellMar>
      </w:tblPr>
      <w:tblGrid>
        <w:gridCol w:w="1231"/>
        <w:gridCol w:w="346"/>
        <w:gridCol w:w="196"/>
        <w:gridCol w:w="601"/>
        <w:gridCol w:w="109"/>
        <w:gridCol w:w="1471"/>
        <w:gridCol w:w="146"/>
        <w:gridCol w:w="1111"/>
        <w:gridCol w:w="109"/>
        <w:gridCol w:w="316"/>
        <w:gridCol w:w="736"/>
      </w:tblGrid>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Swapped</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Settlement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Termination Date</w:t>
            </w:r>
          </w:p>
        </w:tc>
        <w:tc>
          <w:tcPr>
            <w:tcW w:w="1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 Rate</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Canadian dollar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2028</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4.0900%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54,776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Chinese yuan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2032</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3.1125%</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215,640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Euro</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1, 2029</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3.4610%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74,509</w:t>
            </w:r>
          </w:p>
        </w:tc>
      </w:tr>
    </w:tbl>
    <w:p>
      <w:pPr>
        <w:pStyle w:val="TextBody"/>
        <w:bidi w:val="0"/>
        <w:spacing w:before="0" w:after="240"/>
        <w:ind w:left="0" w:right="0" w:firstLine="720"/>
        <w:jc w:val="left"/>
        <w:rPr/>
      </w:pPr>
      <w:r>
        <w:rPr/>
        <w:t>​</w:t>
      </w:r>
    </w:p>
    <w:p>
      <w:pPr>
        <w:pStyle w:val="TextBody"/>
        <w:bidi w:val="0"/>
        <w:spacing w:before="240" w:after="240"/>
        <w:ind w:left="0" w:right="0" w:hanging="0"/>
        <w:jc w:val="left"/>
        <w:rPr>
          <w:rFonts w:ascii="Times New Roman;Times;serif" w:hAnsi="Times New Roman;Times;serif"/>
          <w:b/>
          <w:sz w:val="20"/>
        </w:rPr>
      </w:pPr>
      <w:bookmarkStart w:id="863" w:name="Tc_Bze6KWpBX068YdGMH2ItfQ_5_12"/>
      <w:bookmarkStart w:id="864" w:name="Tc_V4t9GRa1j02j-54M2SafeA_5_9"/>
      <w:bookmarkStart w:id="865" w:name="Tc_xWiBsMw500GPKXZenmh8uA_5_0"/>
      <w:bookmarkStart w:id="866" w:name="Tc_GTJK_HJ17k2KUmQLD0FlMA_4_12"/>
      <w:bookmarkStart w:id="867" w:name="Tc_x68eZBINRUiioJMRC-xLDA_4_6"/>
      <w:bookmarkStart w:id="868" w:name="Tc_hKHe8hc7jkSvmcp7xPOHMw_4_0"/>
      <w:bookmarkStart w:id="869" w:name="Tc_lNman49NbkW4iQBG10RAhg_3_12"/>
      <w:bookmarkStart w:id="870" w:name="Tc_JmStgvLlHEyu2k-VLs4KiA_3_11"/>
      <w:bookmarkStart w:id="871" w:name="Tc_ZLZFA1a6UkSukR1SlfspJw_3_9"/>
      <w:bookmarkStart w:id="872" w:name="Tc_Z-JyUpoj5EKHFbBAtploVQ_3_8"/>
      <w:bookmarkStart w:id="873" w:name="Tc_y35Xy4z2GUetJeOo9rq3mA_3_5"/>
      <w:bookmarkStart w:id="874" w:name="Tc_KNwzMK0EYUquaU2NhwitFg_3_2"/>
      <w:bookmarkStart w:id="875" w:name="Tc_mfi3MsA0iUuCMSJMDf16EQ_3_0"/>
      <w:bookmarkStart w:id="876" w:name="Tc_Dp0c3p9hsEqoo_9-izO4jA_2_11"/>
      <w:bookmarkStart w:id="877" w:name="Tc_H9HJ24BxrkmkygGoowD-pg_2_8"/>
      <w:bookmarkStart w:id="878" w:name="Tc__XBE4Oyadkag0isxm79R0w_2_5"/>
      <w:bookmarkStart w:id="879" w:name="Tc_mOW09W7SIEuupJCzbihqXA_2_2"/>
      <w:bookmarkStart w:id="880" w:name="Tc_yCY1-Upz-U-Gw_hn48HDaA_1_5"/>
      <w:bookmarkStart w:id="881" w:name="Tc_s0xDnSBrBkKCz-OK7Ea3kQ_1_2"/>
      <w:bookmarkStart w:id="882" w:name="_f009c401_7d0d_44b9_824d_9c9988fc6e63"/>
      <w:bookmarkStart w:id="883" w:name="Tc_W4314r9bHky3twQLTIrfIA_5_12"/>
      <w:bookmarkStart w:id="884" w:name="Tc__kCUkRxCIkyr82znBUGetw_5_9"/>
      <w:bookmarkStart w:id="885" w:name="Tc_bB5qWo5X6kmuAR21JIBOAg_5_0"/>
      <w:bookmarkStart w:id="886" w:name="Tc_f3fHaL-yiUCrsP9lLiJU2A_4_12"/>
      <w:bookmarkStart w:id="887" w:name="Tc_BU_Q1a5SBUyi0BOOjJD05g_4_6"/>
      <w:bookmarkStart w:id="888" w:name="Tc_-mL09B1qFU6em-r-EPGidw_4_0"/>
      <w:bookmarkStart w:id="889" w:name="Tc_2EX106HH2UmFmALPFv_xmw_3_12"/>
      <w:bookmarkStart w:id="890" w:name="Tc_XcTShE1FmkGNzVFVigHG1A_3_11"/>
      <w:bookmarkStart w:id="891" w:name="Tc_6RhXwt_d0k2GZnmW4VpLGQ_3_9"/>
      <w:bookmarkStart w:id="892" w:name="Tc_wXY8-sxav0yE-igzLJM1Ew_3_8"/>
      <w:bookmarkStart w:id="893" w:name="Tc_JmoPIsYi5U2Oz3-JP_0KLw_3_5"/>
      <w:bookmarkStart w:id="894" w:name="Tc_HY1DQnu460m7wLFZ_sZzRQ_3_2"/>
      <w:bookmarkStart w:id="895" w:name="Tc_SOoDvnHegkKN2ygrZvjeCA_3_0"/>
      <w:bookmarkStart w:id="896" w:name="Tc_d3xSmnbmgk64gzQvkGfdEQ_2_11"/>
      <w:bookmarkStart w:id="897" w:name="Tc_ImdVwQDveUOE1Pzl5IqXgg_2_8"/>
      <w:bookmarkStart w:id="898" w:name="Tc_lOQZH8qG20-oOp-wFvZGqw_2_5"/>
      <w:bookmarkStart w:id="899" w:name="Tc_1m1fWzC0PES94rqEPbBQpA_2_2"/>
      <w:bookmarkStart w:id="900" w:name="Tc_umKJ8UsEMUmo8UE3UKZD7w_1_5"/>
      <w:bookmarkStart w:id="901" w:name="Tc_dY-Y2GaNrUa9-0nwD1NEiw_1_2"/>
      <w:bookmarkStart w:id="902" w:name="_163b23d3_2412_4335_9e60_34275416b3fc"/>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Times New Roman;Times;serif" w:hAnsi="Times New Roman;Times;serif"/>
          <w:b/>
          <w:sz w:val="20"/>
        </w:rPr>
        <w:t>(7) 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carrying values and fair value measurements of the Company’s financial assets and liabilities measured at fair value on a recurring basis as of March 28, 2026 and December 27, 2025:</w:t>
      </w:r>
    </w:p>
    <w:p>
      <w:pPr>
        <w:pStyle w:val="TextBody"/>
        <w:bidi w:val="0"/>
        <w:spacing w:before="0" w:after="0"/>
        <w:ind w:left="0" w:right="0" w:hanging="0"/>
        <w:jc w:val="left"/>
        <w:rPr/>
      </w:pPr>
      <w:r>
        <w:rPr/>
        <w:t>​</w:t>
      </w:r>
    </w:p>
    <w:tbl>
      <w:tblPr>
        <w:tblW w:w="7223" w:type="dxa"/>
        <w:jc w:val="left"/>
        <w:tblInd w:w="0" w:type="dxa"/>
        <w:tblLayout w:type="fixed"/>
        <w:tblCellMar>
          <w:top w:w="0" w:type="dxa"/>
          <w:left w:w="0" w:type="dxa"/>
          <w:bottom w:w="0" w:type="dxa"/>
          <w:right w:w="0" w:type="dxa"/>
        </w:tblCellMar>
      </w:tblPr>
      <w:tblGrid>
        <w:gridCol w:w="3091"/>
        <w:gridCol w:w="109"/>
        <w:gridCol w:w="320"/>
        <w:gridCol w:w="985"/>
        <w:gridCol w:w="109"/>
        <w:gridCol w:w="229"/>
        <w:gridCol w:w="702"/>
        <w:gridCol w:w="127"/>
        <w:gridCol w:w="229"/>
        <w:gridCol w:w="439"/>
        <w:gridCol w:w="127"/>
        <w:gridCol w:w="229"/>
        <w:gridCol w:w="527"/>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0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 2026</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27" w:type="dxa"/>
            <w:tcBorders/>
            <w:vAlign w:val="center"/>
          </w:tcPr>
          <w:p>
            <w:pPr>
              <w:pStyle w:val="TableContents"/>
              <w:bidi w:val="0"/>
              <w:spacing w:before="0" w:after="1"/>
              <w:ind w:left="0" w:right="0" w:hanging="0"/>
              <w:jc w:val="left"/>
              <w:rPr/>
            </w:pPr>
            <w:r>
              <w:rPr/>
              <w:t>​</w:t>
            </w:r>
          </w:p>
        </w:tc>
        <w:tc>
          <w:tcPr>
            <w:tcW w:w="6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27" w:type="dxa"/>
            <w:tcBorders/>
            <w:vAlign w:val="center"/>
          </w:tcPr>
          <w:p>
            <w:pPr>
              <w:pStyle w:val="TableContents"/>
              <w:bidi w:val="0"/>
              <w:spacing w:before="0" w:after="1"/>
              <w:ind w:left="0" w:right="0" w:hanging="0"/>
              <w:jc w:val="left"/>
              <w:rPr/>
            </w:pPr>
            <w:r>
              <w:rPr/>
              <w:t>​</w:t>
            </w:r>
          </w:p>
        </w:tc>
        <w:tc>
          <w:tcPr>
            <w:tcW w:w="7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27,238</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27,238</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39"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7"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3,223</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3,223</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7473" w:type="dxa"/>
        <w:jc w:val="left"/>
        <w:tblInd w:w="0" w:type="dxa"/>
        <w:tblLayout w:type="fixed"/>
        <w:tblCellMar>
          <w:top w:w="0" w:type="dxa"/>
          <w:left w:w="0" w:type="dxa"/>
          <w:bottom w:w="0" w:type="dxa"/>
          <w:right w:w="0" w:type="dxa"/>
        </w:tblCellMar>
      </w:tblPr>
      <w:tblGrid>
        <w:gridCol w:w="3091"/>
        <w:gridCol w:w="109"/>
        <w:gridCol w:w="366"/>
        <w:gridCol w:w="1179"/>
        <w:gridCol w:w="109"/>
        <w:gridCol w:w="205"/>
        <w:gridCol w:w="630"/>
        <w:gridCol w:w="114"/>
        <w:gridCol w:w="205"/>
        <w:gridCol w:w="661"/>
        <w:gridCol w:w="114"/>
        <w:gridCol w:w="208"/>
        <w:gridCol w:w="482"/>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c>
          <w:tcPr>
            <w:tcW w:w="109" w:type="dxa"/>
            <w:tcBorders/>
            <w:vAlign w:val="center"/>
          </w:tcPr>
          <w:p>
            <w:pPr>
              <w:pStyle w:val="TableContents"/>
              <w:bidi w:val="0"/>
              <w:spacing w:before="0" w:after="1"/>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14" w:type="dxa"/>
            <w:tcBorders/>
            <w:vAlign w:val="center"/>
          </w:tcPr>
          <w:p>
            <w:pPr>
              <w:pStyle w:val="TableContents"/>
              <w:bidi w:val="0"/>
              <w:spacing w:before="0" w:after="1"/>
              <w:ind w:left="0" w:right="0" w:hanging="0"/>
              <w:jc w:val="left"/>
              <w:rPr/>
            </w:pPr>
            <w:r>
              <w:rPr/>
              <w:t>​</w:t>
            </w:r>
          </w:p>
        </w:tc>
        <w:tc>
          <w:tcPr>
            <w:tcW w:w="8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14" w:type="dxa"/>
            <w:tcBorders/>
            <w:vAlign w:val="center"/>
          </w:tcPr>
          <w:p>
            <w:pPr>
              <w:pStyle w:val="TableContents"/>
              <w:bidi w:val="0"/>
              <w:spacing w:before="0" w:after="1"/>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482"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fair value redemption amounts of certain redeemable noncontrolling interests are measured on a recurring basis utilizing Level 3 inputs, including estimates of future revenue, operating margins, growth rates, and discount rates. Goodwill and other intangible assets are measured at fair value on a non-recurring basis using Level 3 inputs. Unless otherwise specified, the Company believes the carrying values of financial instruments approximate their fair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903" w:name="Tc_vKGsOFzKLkCY6o_kgZD0wA_12_5"/>
      <w:bookmarkStart w:id="904" w:name="Tc_gt-alEU_2EOuOHUr4IZEwg_12_2"/>
      <w:bookmarkStart w:id="905" w:name="Tc_2k79fRCYi0Oe8qPFVMAwgQ_12_0"/>
      <w:bookmarkStart w:id="906" w:name="Tc_TQ-BgeUWykatRNfbCzAURA_11_0"/>
      <w:bookmarkStart w:id="907" w:name="Tc_H_nvtcpLGEO5rCqWl1gq8A_10_5"/>
      <w:bookmarkStart w:id="908" w:name="Tc_PjobUZXMw0iTsDhezzvj0g_10_2"/>
      <w:bookmarkStart w:id="909" w:name="Tc_InAp2t3uO0S7uLZ8V_xJxA_10_0"/>
      <w:bookmarkStart w:id="910" w:name="Tc_-4iCEFEsr0etEmV3koYoVA_9_0"/>
      <w:bookmarkStart w:id="911" w:name="Tc_E0WYw28b1E6nKva6nHulvQ_8_0"/>
      <w:bookmarkStart w:id="912" w:name="Tc_pDW9ES6jwk27GJq8fDRbzQ_7_0"/>
      <w:bookmarkStart w:id="913" w:name="Tc_-iplmlGXkUu_oDs8X1Ixlw_6_0"/>
      <w:bookmarkStart w:id="914" w:name="Tc_9VR6vVLFK0yb2VRCiEZU2w_5_0"/>
      <w:bookmarkStart w:id="915" w:name="Tc_GT7pbHTLtkGkOrotpAp8yg_4_5"/>
      <w:bookmarkStart w:id="916" w:name="Tc_bE9x6obMpkCwkPcXi2nufg_4_2"/>
      <w:bookmarkStart w:id="917" w:name="Tc_itHcwMh1KkSCVVDg9PrWDg_4_0"/>
      <w:bookmarkStart w:id="918" w:name="Tc_hGqUwiNow0KwH9pd3eSi4Q_3_5"/>
      <w:bookmarkStart w:id="919" w:name="Tc_fW93EgIMcU2GDcPLzLWPUQ_3_2"/>
      <w:bookmarkStart w:id="920" w:name="Tc_aKR3ubHSbEO6LwJ1RthMOA_2_5"/>
      <w:bookmarkStart w:id="921" w:name="Tc_SfTPAfPf8EG0zQp0ndkoFg_2_2"/>
      <w:bookmarkStart w:id="922" w:name="Tc_5w3lkH8U6UWUZsQb8IdRjw_1_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b/>
          <w:sz w:val="20"/>
        </w:rPr>
        <w:t>(8) NET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provides a reconciliation between the net earnings attributable to Valmont Industries, Inc. and the weighted average share amounts used to compute both basic and diluted earnings per share:</w:t>
      </w:r>
    </w:p>
    <w:p>
      <w:pPr>
        <w:pStyle w:val="TextBody"/>
        <w:bidi w:val="0"/>
        <w:spacing w:before="0" w:after="0"/>
        <w:ind w:left="0" w:right="0" w:hanging="0"/>
        <w:jc w:val="left"/>
        <w:rPr/>
      </w:pPr>
      <w:r>
        <w:rPr/>
        <w:t>​</w:t>
      </w:r>
    </w:p>
    <w:tbl>
      <w:tblPr>
        <w:tblW w:w="7298" w:type="dxa"/>
        <w:jc w:val="left"/>
        <w:tblInd w:w="0" w:type="dxa"/>
        <w:tblLayout w:type="fixed"/>
        <w:tblCellMar>
          <w:top w:w="0" w:type="dxa"/>
          <w:left w:w="0" w:type="dxa"/>
          <w:bottom w:w="0" w:type="dxa"/>
          <w:right w:w="0" w:type="dxa"/>
        </w:tblCellMar>
      </w:tblPr>
      <w:tblGrid>
        <w:gridCol w:w="5026"/>
        <w:gridCol w:w="109"/>
        <w:gridCol w:w="196"/>
        <w:gridCol w:w="691"/>
        <w:gridCol w:w="346"/>
        <w:gridCol w:w="216"/>
        <w:gridCol w:w="714"/>
      </w:tblGrid>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8785" cy="175260"/>
                      <wp:effectExtent l="0" t="0" r="0" b="0"/>
                      <wp:wrapNone/>
                      <wp:docPr id="6" name="Frame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160" cy="175260"/>
                      <wp:effectExtent l="0" t="0" r="0" b="0"/>
                      <wp:wrapNone/>
                      <wp:docPr id="8" name="Frame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53390" cy="175260"/>
                      <wp:effectExtent l="0" t="0" r="0" b="0"/>
                      <wp:wrapNone/>
                      <wp:docPr id="9" name="Frame9"/>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50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108,033</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87,261</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 average shares outstanding (in thousands):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19,475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20,047</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19,616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20,196</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attributable to Valmont Industries, Inc. per share: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4.32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March 28, 2026 , there were no outstanding stock options with exercise prices in excess of the average market price of common stock during the first quarter of fiscal 2026. As of March 29, 2025, there were 41,326 such options. These options were anti-dilutive and, accordingly, were excluded from the computation of diluted earnings per share.</w:t>
      </w:r>
    </w:p>
    <w:p>
      <w:pPr>
        <w:pStyle w:val="TextBody"/>
        <w:bidi w:val="0"/>
        <w:spacing w:before="240" w:after="240"/>
        <w:ind w:left="0" w:right="0" w:hanging="0"/>
        <w:jc w:val="left"/>
        <w:rPr>
          <w:rFonts w:ascii="Times New Roman;Times;serif" w:hAnsi="Times New Roman;Times;serif"/>
          <w:b/>
          <w:sz w:val="20"/>
        </w:rPr>
      </w:pPr>
      <w:bookmarkStart w:id="923" w:name="Tc_LHUBxQ8g2UuYOGwnxbGLYg_5_0"/>
      <w:bookmarkStart w:id="924" w:name="Tc_qcGT2iswqkyr42TIjMQqFA_4_5"/>
      <w:bookmarkStart w:id="925" w:name="Tc_gCMSQu_yI02zaqbYNmiYmA_4_2"/>
      <w:bookmarkStart w:id="926" w:name="Tc_geRVNxI7XUOv1GJDuQlRjg_4_0"/>
      <w:bookmarkStart w:id="927" w:name="Tc_2wK2BvUZ40iNiOp9_pmreg_3_5"/>
      <w:bookmarkStart w:id="928" w:name="Tc_Tdn95Qliv0u9cIhoIMlfZg_3_2"/>
      <w:bookmarkStart w:id="929" w:name="Tc_Jx-6qW1FNU2LtdAvR_nmDw_2_5"/>
      <w:bookmarkStart w:id="930" w:name="Tc_W-z7o3bwFkq4nQXuaZH5SQ_2_2"/>
      <w:bookmarkStart w:id="931" w:name="Tc_fxJlMkhY50CjpHNl9V3rsw_1_2"/>
      <w:bookmarkEnd w:id="923"/>
      <w:bookmarkEnd w:id="924"/>
      <w:bookmarkEnd w:id="925"/>
      <w:bookmarkEnd w:id="926"/>
      <w:bookmarkEnd w:id="927"/>
      <w:bookmarkEnd w:id="928"/>
      <w:bookmarkEnd w:id="929"/>
      <w:bookmarkEnd w:id="930"/>
      <w:bookmarkEnd w:id="931"/>
      <w:r>
        <w:rPr>
          <w:rFonts w:ascii="Times New Roman;Times;serif" w:hAnsi="Times New Roman;Times;serif"/>
          <w:b/>
          <w:sz w:val="20"/>
        </w:rPr>
        <w:t>(9)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thirteen weeks ended March 28, 2026 and March 29, 2025, stock-based compensation expense (included in “Selling, general, and administrative expenses” in the Condensed Consolidated Statements of Earnings) and associated income tax benefits were as follows:</w:t>
      </w:r>
    </w:p>
    <w:p>
      <w:pPr>
        <w:pStyle w:val="TextBody"/>
        <w:bidi w:val="0"/>
        <w:spacing w:before="0" w:after="0"/>
        <w:ind w:left="0" w:right="0" w:hanging="0"/>
        <w:jc w:val="left"/>
        <w:rPr/>
      </w:pPr>
      <w:r>
        <w:rPr/>
        <w:t>​</w:t>
      </w:r>
    </w:p>
    <w:tbl>
      <w:tblPr>
        <w:tblW w:w="4281" w:type="dxa"/>
        <w:jc w:val="left"/>
        <w:tblInd w:w="0" w:type="dxa"/>
        <w:tblLayout w:type="fixed"/>
        <w:tblCellMar>
          <w:top w:w="0" w:type="dxa"/>
          <w:left w:w="0" w:type="dxa"/>
          <w:bottom w:w="0" w:type="dxa"/>
          <w:right w:w="0" w:type="dxa"/>
        </w:tblCellMar>
      </w:tblPr>
      <w:tblGrid>
        <w:gridCol w:w="2011"/>
        <w:gridCol w:w="109"/>
        <w:gridCol w:w="245"/>
        <w:gridCol w:w="640"/>
        <w:gridCol w:w="346"/>
        <w:gridCol w:w="224"/>
        <w:gridCol w:w="706"/>
      </w:tblGrid>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7,211</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benefits</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1,803</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thirteen weeks ended March 28, 2026, the Company granted 4,395 restricted stock units at a weighted average grant date price of $424.89 per share unit and 20,406 performance stock units at a weighted average grant date price of $448.57 per share unit.</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932" w:name="Tc_rVI2pQTySkqGK2T1UM1Q1A_6_5"/>
      <w:bookmarkStart w:id="933" w:name="Tc_JuhyZmwUIkGk-H122ef3fw_6_2"/>
      <w:bookmarkStart w:id="934" w:name="Tc_rAxm07KGaEuS0Gvz92MfvQ_6_0"/>
      <w:bookmarkStart w:id="935" w:name="Tc_cu9aL_IFm0uyQLrHyRkxkA_5_0"/>
      <w:bookmarkStart w:id="936" w:name="Tc_XNe8OfPTQkuXflrMpIHbFg_4_0"/>
      <w:bookmarkStart w:id="937" w:name="Tc_9PLvjk3jdke4bAkOOQbKUA_3_5"/>
      <w:bookmarkStart w:id="938" w:name="Tc_vYRqLUjMuk-Mq3hQmt2NaA_3_2"/>
      <w:bookmarkStart w:id="939" w:name="Tc_UrtISkwaykKdrHq30CHyQA_3_0"/>
      <w:bookmarkStart w:id="940" w:name="Tc_xIEtkOxUB0iQ46tKDRR9Vg_2_5"/>
      <w:bookmarkStart w:id="941" w:name="Tc_96FagdIMxEO1rlTKxvj6Dg_2_2"/>
      <w:bookmarkStart w:id="942" w:name="Tc_eDXmM--2oEqieDrjh682iA_1_5"/>
      <w:bookmarkStart w:id="943" w:name="Tc_lxvpldzYH0uWCBZhdo4cgg_1_2"/>
      <w:bookmarkEnd w:id="932"/>
      <w:bookmarkEnd w:id="933"/>
      <w:bookmarkEnd w:id="934"/>
      <w:bookmarkEnd w:id="935"/>
      <w:bookmarkEnd w:id="936"/>
      <w:bookmarkEnd w:id="937"/>
      <w:bookmarkEnd w:id="938"/>
      <w:bookmarkEnd w:id="939"/>
      <w:bookmarkEnd w:id="940"/>
      <w:bookmarkEnd w:id="941"/>
      <w:bookmarkEnd w:id="942"/>
      <w:bookmarkEnd w:id="943"/>
      <w:r>
        <w:rPr>
          <w:rFonts w:ascii="Times New Roman;Times;serif" w:hAnsi="Times New Roman;Times;serif"/>
          <w:b/>
          <w:sz w:val="20"/>
        </w:rPr>
        <w:t>(10) ACCUMULATED OTHER COMPREHENSIVE INCOME (LOSS)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the components of accumulated other comprehensive loss were as follows:</w:t>
      </w:r>
    </w:p>
    <w:p>
      <w:pPr>
        <w:pStyle w:val="TextBody"/>
        <w:bidi w:val="0"/>
        <w:spacing w:before="0" w:after="0"/>
        <w:ind w:left="0" w:right="0" w:hanging="0"/>
        <w:jc w:val="left"/>
        <w:rPr/>
      </w:pPr>
      <w:r>
        <w:rPr/>
        <w:t>​</w:t>
      </w:r>
    </w:p>
    <w:tbl>
      <w:tblPr>
        <w:tblW w:w="5648" w:type="dxa"/>
        <w:jc w:val="left"/>
        <w:tblInd w:w="0" w:type="dxa"/>
        <w:tblLayout w:type="fixed"/>
        <w:tblCellMar>
          <w:top w:w="0" w:type="dxa"/>
          <w:left w:w="0" w:type="dxa"/>
          <w:bottom w:w="0" w:type="dxa"/>
          <w:right w:w="0" w:type="dxa"/>
        </w:tblCellMar>
      </w:tblPr>
      <w:tblGrid>
        <w:gridCol w:w="3001"/>
        <w:gridCol w:w="109"/>
        <w:gridCol w:w="196"/>
        <w:gridCol w:w="811"/>
        <w:gridCol w:w="346"/>
        <w:gridCol w:w="220"/>
        <w:gridCol w:w="965"/>
      </w:tblGrid>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9700" cy="175260"/>
                      <wp:effectExtent l="0" t="0" r="0" b="0"/>
                      <wp:wrapNone/>
                      <wp:docPr id="13" name="Frame1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(247,333)</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(248,741)</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20,347</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Defined benefit pension plan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(56,703)</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(57,179)</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(283,689)</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(290,515)</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SHARE REPURCHASES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maintains a share repurchase program with a total authorization of $2,100,000. During the thirteen weeks ended March 28, 2026, the Company repurchased 131,197 shares for $56,554. As of March 28, 2026, the Company had repurchased 8,974,477 shares for approximately $1,589,449 since the program's inception and had approximately $510,551 of remaining capacity under the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outstanding payment obligations under the Company’s supplier finance program, included in “Accounts payable” in the Condensed Consolidated Balance Sheets, were $56,351 and $56,324, respectively.</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and claims arising in the normal course of business.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Brazil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involved in several litigation matters in Brazil related to its operations in the Agriculture market. During the fourth quarter of fiscal 2025, the Company received an unfavorable ruling in the Brazilian appellate court system. In the first quarter of fiscal 2026, prior to the appellate court issuing decisions on final motions for clarification, the Company entered into a settlement agreement with the plaintiff for approximately 105,000 Brazilian reais (approximately $20,036 U.S. dollars). This settlement amount excludes certain attorney’s fees, which are still being finalized, and was materially consistent with the estimate made as of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the Company had accrued approximately $24,104 and $24,165, respectively, related to these matters, which is included in “Other accrued expenses” in the Condensed Consolidated Balance Sheets. The accrual reflects management's best estimate of losses based on currently available information. Pursuant to the terms of the settlement agreement, payment is expected to be made in the second quarter of fiscal 2026. No losses beyond the amounts accrued are deemed probable at this time.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U.S. Customs and Border Protection Inquiry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2026, the Company received inquiries from U.S. Customs and Border Protection (“CBP”) related to the valuation methodology applied to steel tariffs from Mexico into the U.S. Throughout the first quarter of fiscal 2026, the Company received two formal CBP inquiries. While one inquiry has not yet been responded to by CBP, the Company received a response on the other indicating that the Company was found to be in compliance and that no further action was required. Based on management’s assessment of the facts and circumstances currently available, including the Company’s understanding of current CBP guidance previously enacted, management does not believe a loss is probable or reasonably estimable as of March 28, 2026, with respect to changes in valuation methodology.</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Section 232 Tariff Modifications – Subsequent Event</w:t>
      </w:r>
    </w:p>
    <w:p>
      <w:pPr>
        <w:pStyle w:val="TextBody"/>
        <w:bidi w:val="0"/>
        <w:spacing w:before="240" w:after="240"/>
        <w:ind w:left="0" w:right="0" w:firstLine="720"/>
        <w:jc w:val="left"/>
        <w:rPr>
          <w:rFonts w:ascii="Times New Roman;Times;serif" w:hAnsi="Times New Roman;Times;serif"/>
          <w:b/>
          <w:sz w:val="20"/>
        </w:rPr>
      </w:pPr>
      <w:r>
        <w:rPr>
          <w:rFonts w:ascii="Times New Roman;Times;serif" w:hAnsi="Times New Roman;Times;serif"/>
          <w:b w:val="false"/>
          <w:sz w:val="20"/>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w:t>
      </w:r>
      <w:r>
        <w:rPr>
          <w:rFonts w:ascii="Times New Roman;Times;serif" w:hAnsi="Times New Roman;Times;serif"/>
          <w:b/>
          <w:sz w:val="20"/>
        </w:rPr>
        <w:t xml:space="preserve"> </w:t>
      </w:r>
      <w:r>
        <w:rPr>
          <w:rFonts w:ascii="Times New Roman;Times;serif" w:hAnsi="Times New Roman;Times;serif"/>
          <w:b w:val="false"/>
          <w:sz w:val="20"/>
        </w:rPr>
        <w:t>ad valorem rate applicable to products in which at least 95%</w:t>
      </w:r>
      <w:r>
        <w:rPr>
          <w:rFonts w:ascii="Times New Roman;Times;serif" w:hAnsi="Times New Roman;Times;serif"/>
          <w:b/>
          <w:sz w:val="20"/>
        </w:rPr>
        <w:t xml:space="preserve"> </w:t>
      </w:r>
      <w:r>
        <w:rPr>
          <w:rFonts w:ascii="Times New Roman;Times;serif" w:hAnsi="Times New Roman;Times;serif"/>
          <w:b w:val="false"/>
          <w:sz w:val="20"/>
        </w:rPr>
        <w:t>of steel content was melted and poured in the U.S. Products that do not meet these requirements are subject to higher tariff rates, including up to 50%</w:t>
      </w:r>
      <w:r>
        <w:rPr>
          <w:rFonts w:ascii="Times New Roman;Times;serif" w:hAnsi="Times New Roman;Times;serif"/>
          <w:b/>
          <w:sz w:val="20"/>
        </w:rPr>
        <w:t xml:space="preserve"> </w:t>
      </w:r>
      <w:r>
        <w:rPr>
          <w:rFonts w:ascii="Times New Roman;Times;serif" w:hAnsi="Times New Roman;Times;serif"/>
          <w:b w:val="false"/>
          <w:sz w:val="20"/>
        </w:rPr>
        <w:t>on full value.</w:t>
      </w:r>
    </w:p>
    <w:p>
      <w:pPr>
        <w:pStyle w:val="TextBody"/>
        <w:bidi w:val="0"/>
        <w:spacing w:before="240" w:after="240"/>
        <w:ind w:left="0" w:right="0" w:firstLine="720"/>
        <w:jc w:val="left"/>
        <w:rPr>
          <w:rFonts w:ascii="Times New Roman;Times;serif" w:hAnsi="Times New Roman;Times;serif"/>
          <w:b/>
          <w:sz w:val="20"/>
        </w:rPr>
      </w:pPr>
      <w:r>
        <w:rPr>
          <w:rFonts w:ascii="Times New Roman;Times;serif" w:hAnsi="Times New Roman;Times;serif"/>
          <w:b w:val="false"/>
          <w:sz w:val="20"/>
        </w:rPr>
        <w:t>The Company is currently assessing the full scope of affected products and the prospective financial impact on its results of operations and financial condition. At this time, the Company believes that the majority of its steel poles produced in Mexico will be subject to a 10%</w:t>
      </w:r>
      <w:r>
        <w:rPr>
          <w:rFonts w:ascii="Times New Roman;Times;serif" w:hAnsi="Times New Roman;Times;serif"/>
          <w:b/>
          <w:sz w:val="20"/>
        </w:rPr>
        <w:t xml:space="preserve"> </w:t>
      </w:r>
      <w:r>
        <w:rPr>
          <w:rFonts w:ascii="Times New Roman;Times;serif" w:hAnsi="Times New Roman;Times;serif"/>
          <w:b w:val="false"/>
          <w:sz w:val="20"/>
        </w:rPr>
        <w:t>tariff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Company continuously monitors developments in these matters and will adjust its accruals if and when additional information becomes available or circumstances change. At this time, the Company does not expect that any known lawsuits, claims, environmental costs, commitments, or contingent liabilities will have a material adverse effect on its consolidated results of operations, financial condition, or liquidity.</w:t>
      </w:r>
    </w:p>
    <w:p>
      <w:pPr>
        <w:pStyle w:val="TextBody"/>
        <w:bidi w:val="0"/>
        <w:spacing w:before="240" w:after="240"/>
        <w:ind w:left="0" w:right="0" w:hanging="0"/>
        <w:jc w:val="left"/>
        <w:rPr>
          <w:rFonts w:ascii="Times New Roman;Times;serif" w:hAnsi="Times New Roman;Times;serif"/>
          <w:b/>
          <w:sz w:val="20"/>
        </w:rPr>
      </w:pPr>
      <w:bookmarkStart w:id="944" w:name="Tc_qPerbLtRy0akKXb9KXQKBQ_11_8"/>
      <w:bookmarkStart w:id="945" w:name="Tc_aMWqf_oWakG8RIMIIeslPg_11_0"/>
      <w:bookmarkStart w:id="946" w:name="Tc_SOlnAEsFhU2eBvT9xqX8Sw_10_0"/>
      <w:bookmarkStart w:id="947" w:name="Tc_qem2o98ya0K84AuCktBkBw_9_5"/>
      <w:bookmarkStart w:id="948" w:name="Tc_AM93xYOEi0OesDyYidkyZQ_9_2"/>
      <w:bookmarkStart w:id="949" w:name="Tc_TSO2-GeMmE-Bmpnr2IMGfg_9_0"/>
      <w:bookmarkStart w:id="950" w:name="Tc_gsnTqEe4h0ejnQ6yUWBe9A_8_0"/>
      <w:bookmarkStart w:id="951" w:name="Tc_MO2egrWAdEiR646DTtinrw_7_0"/>
      <w:bookmarkStart w:id="952" w:name="Tc_jw6h9J2UGkGZWooNBuFS3g_6_0"/>
      <w:bookmarkStart w:id="953" w:name="Tc__aAJ7xJ0NEK1iojLTELNSg_5_0"/>
      <w:bookmarkStart w:id="954" w:name="Tc_bSTeO9Q5X0-p6fWH9KammA_4_0"/>
      <w:bookmarkStart w:id="955" w:name="Tc_CoK-IUCmFEmY7RbNYg_LBA_3_8"/>
      <w:bookmarkStart w:id="956" w:name="Tc_unlqixr5eUi98dD2TS22sQ_3_5"/>
      <w:bookmarkStart w:id="957" w:name="Tc_Tp_mXyBOCU--rcfROqG4nQ_3_2"/>
      <w:bookmarkStart w:id="958" w:name="Tc_tMNEIiYmjU2lMLoZeYkz2A_3_0"/>
      <w:bookmarkStart w:id="959" w:name="Tc_OIyBiIb0Kki6dSsAAZQjUw_2_8"/>
      <w:bookmarkStart w:id="960" w:name="Tc_vMQpsSHW5EKXggB9BYkcNg_2_5"/>
      <w:bookmarkStart w:id="961" w:name="Tc_JnzdnEtMaEi56V4xjc-mRw_2_2"/>
      <w:bookmarkStart w:id="962" w:name="Tc_qbQbeHZy7UGwhlFi2ujaFA_1_2"/>
      <w:bookmarkStart w:id="963" w:name="_c5350384_1312_4a80_ae14_9f7ea717ec5b"/>
      <w:bookmarkStart w:id="964" w:name="Tc_2clkdBsARU-g2szCbHAm7A_11_8"/>
      <w:bookmarkStart w:id="965" w:name="Tc_Xq7PCPt3SE61OuuOfj6Anw_11_0"/>
      <w:bookmarkStart w:id="966" w:name="Tc_dGA2o7X0QEGDml61yjlHaA_10_0"/>
      <w:bookmarkStart w:id="967" w:name="Tc_vCzRSZNilkGz7TUnMpxvOA_9_5"/>
      <w:bookmarkStart w:id="968" w:name="Tc_iT841p84pUmv-PzHdztcwQ_9_2"/>
      <w:bookmarkStart w:id="969" w:name="Tc_4hmbxJAf8UaZhbLqzld9Hg_9_0"/>
      <w:bookmarkStart w:id="970" w:name="Tc_V76C737i2ECzdYKs8FVa4Q_8_0"/>
      <w:bookmarkStart w:id="971" w:name="Tc_mxDuyDJrMUCd3M92TCgtyQ_7_0"/>
      <w:bookmarkStart w:id="972" w:name="Tc_klHk81ZhXUipAEj4r42zEw_6_0"/>
      <w:bookmarkStart w:id="973" w:name="Tc_hUlwbi9nREadyBnomLn32g_5_0"/>
      <w:bookmarkStart w:id="974" w:name="Tc__3e_p2TU8Ui1-fVG1gCmAA_4_0"/>
      <w:bookmarkStart w:id="975" w:name="Tc_OMg3wqXzikSemH1khf1ZAg_3_8"/>
      <w:bookmarkStart w:id="976" w:name="Tc_ES1Fq1-YAkKYVI18YbUQgg_3_5"/>
      <w:bookmarkStart w:id="977" w:name="Tc_8sVgxyXH4U2G8CotQtvvqg_3_2"/>
      <w:bookmarkStart w:id="978" w:name="Tc_w_7h0pizQU6aDcm0P7IGMQ_3_0"/>
      <w:bookmarkStart w:id="979" w:name="Tc_wUgf-eD88k6ETa5P7OdFQQ_2_8"/>
      <w:bookmarkStart w:id="980" w:name="Tc_36LtLRQokkOXtgiJ5E_OsQ_2_5"/>
      <w:bookmarkStart w:id="981" w:name="Tc_tdFRT78T0U62yzmT8MwkbQ_2_2"/>
      <w:bookmarkStart w:id="982" w:name="Tc_bhfvtpmfFUSGHajocxDHvQ_1_2"/>
      <w:bookmarkStart w:id="983" w:name="_e22d49dd_6a34_492e_b2a8_55af4b4d44e0"/>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b/>
          <w:sz w:val="20"/>
        </w:rPr>
        <w:t>(14) BUSINESS SEGMENTS AND RELATED REVENUE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chief operating decision maker (“CODM”) is the President and Chief Executive Officer. The CODM uses operating income as the profit measure to evaluate segment performance and allocate resources across segments. The CODM also uses operating income as an input to the overall compensation measures under the Company’s incentive compensation plans. Segment selling, general, and administrative expenses include certain corporate expense allocations, typically based on employee headcounts and sales volumes. For segment reporting purposes, the Company excludes unallocated corporate general and administrative expenses, interest expenses, non-operating income and deductions, and income taxes from operating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reportable segments are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Infrastructure</w:t>
      </w:r>
      <w:r>
        <w:rPr>
          <w:rFonts w:ascii="Times New Roman;Times;serif" w:hAnsi="Times New Roman;Times;serif"/>
          <w:sz w:val="20"/>
        </w:rPr>
        <w:t>: This segment consists of the manufacture and distribution of products and solutions to serve the infrastructure markets of utility, lighting, transportation, and telecommunications, along with coatings services to protect metal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Agriculture</w:t>
      </w:r>
      <w:r>
        <w:rPr>
          <w:rFonts w:ascii="Times New Roman;Times;serif" w:hAnsi="Times New Roman;Times;serif"/>
          <w:sz w:val="20"/>
        </w:rPr>
        <w:t>: This segment consists of the manufacture of center pivot and linear irrigation equipment components for agricultural markets, including aftermarket parts and tubular products, and advanced technology solutions for precision agriculture.</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Summary by Business Segment</w:t>
      </w:r>
    </w:p>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526"/>
        <w:gridCol w:w="346"/>
        <w:gridCol w:w="262"/>
        <w:gridCol w:w="924"/>
        <w:gridCol w:w="346"/>
        <w:gridCol w:w="212"/>
        <w:gridCol w:w="749"/>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March 28, 2026</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805,921</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226,996</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1,032,917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(2,741)</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(979)</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803,180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226,017</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1,029,197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558,990</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153,329</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712,319</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244,190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72,688</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316,878</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101,167</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39,185</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140,352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143,023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33,503</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176,526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20,900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155,626</w:t>
            </w:r>
          </w:p>
        </w:tc>
      </w:tr>
    </w:tbl>
    <w:p>
      <w:pPr>
        <w:pStyle w:val="TextBody"/>
        <w:bidi w:val="0"/>
        <w:spacing w:before="0" w:after="240"/>
        <w:ind w:left="0" w:right="0" w:hanging="0"/>
        <w:jc w:val="left"/>
        <w:rPr>
          <w:shd w:fill="FFFF00" w:val="clear"/>
        </w:rPr>
      </w:pPr>
      <w:r>
        <w:rPr>
          <w:shd w:fill="FFFF00" w:val="clear"/>
        </w:rPr>
        <w:t>​</w:t>
      </w:r>
    </w:p>
    <w:tbl>
      <w:tblPr>
        <w:tblW w:w="7822" w:type="dxa"/>
        <w:jc w:val="left"/>
        <w:tblInd w:w="0" w:type="dxa"/>
        <w:tblLayout w:type="fixed"/>
        <w:tblCellMar>
          <w:top w:w="0" w:type="dxa"/>
          <w:left w:w="0" w:type="dxa"/>
          <w:bottom w:w="0" w:type="dxa"/>
          <w:right w:w="0" w:type="dxa"/>
        </w:tblCellMar>
      </w:tblPr>
      <w:tblGrid>
        <w:gridCol w:w="3526"/>
        <w:gridCol w:w="346"/>
        <w:gridCol w:w="262"/>
        <w:gridCol w:w="924"/>
        <w:gridCol w:w="346"/>
        <w:gridCol w:w="212"/>
        <w:gridCol w:w="749"/>
        <w:gridCol w:w="346"/>
        <w:gridCol w:w="219"/>
        <w:gridCol w:w="892"/>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March 29, 2025</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706,221</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267,271</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973,492</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(2,730)</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(1,448)</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703,491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265,823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969,314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490,616</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187,596</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678,212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212,875</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78,227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291,102</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95,663</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41,990</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137,653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117,212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36,237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153,449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25,135</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128,314</w:t>
            </w:r>
          </w:p>
        </w:tc>
      </w:tr>
    </w:tbl>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for each reportable segment includes compensation, certain allocated overhead expenses including information technology and enterprise resource planning, commissions, incentives, depreciation and amortization expense, research and development, and professional services fees.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bookmarkStart w:id="984" w:name="Tc_P2Pn0bbQqE2lFqZf7SXC7w_8_5"/>
      <w:bookmarkStart w:id="985" w:name="Tc_1cUOaScxW0i-sbRJgAevMQ_8_2"/>
      <w:bookmarkStart w:id="986" w:name="Tc_7r9MiDgx1kuiGo_SBriKag_8_0"/>
      <w:bookmarkStart w:id="987" w:name="Tc_vI63r7HXEEqjS9R4bK5I-Q_7_0"/>
      <w:bookmarkStart w:id="988" w:name="Tc_fNcZr9OL6EyKgGXtyfLTiA_6_0"/>
      <w:bookmarkStart w:id="989" w:name="Tc_MeSleRQX3EiwjtIawAUImg_5_0"/>
      <w:bookmarkStart w:id="990" w:name="Tc_fSz3WeuRD0W_9B3t-Ai9eA_4_5"/>
      <w:bookmarkStart w:id="991" w:name="Tc_OecwwxRFSUacWihPJNEnUA_4_2"/>
      <w:bookmarkStart w:id="992" w:name="Tc_EBqtdwX5rkCAvvHYSevbHg_4_0"/>
      <w:bookmarkStart w:id="993" w:name="Tc_up7eTQmwp0C2Qgbk1RvmbA_3_0"/>
      <w:bookmarkStart w:id="994" w:name="Tc_kSjgjalGJEuOx5akdKi-6g_2_5"/>
      <w:bookmarkStart w:id="995" w:name="Tc_Zn_HjKGL9EuF7amANstSlg_2_2"/>
      <w:bookmarkStart w:id="996" w:name="Tc_jPFRTxAOS0qz7mnlUMki3w_1_5"/>
      <w:bookmarkStart w:id="997" w:name="Tc_tNyz0kKQGE2fIQgEh6vcZA_1_2"/>
      <w:bookmarkStart w:id="998" w:name="_0d46e5da_69fe_4899_bcf6_2ece04b8e78e"/>
      <w:bookmarkStart w:id="999" w:name="Tc_xooPFScfcU6AsPLe_1Lqlg_15_11"/>
      <w:bookmarkStart w:id="1000" w:name="Tc_4coeQgyLoEyATj-cG_F3bA_15_8"/>
      <w:bookmarkStart w:id="1001" w:name="Tc_UWLZUynqrEC8cZt63R9ldw_15_5"/>
      <w:bookmarkStart w:id="1002" w:name="Tc_C69Fe7To0UGcixaZLzXSJA_15_2"/>
      <w:bookmarkStart w:id="1003" w:name="Tc_i7uSOCfDzEiSI7-MXkJ-iw_15_0"/>
      <w:bookmarkStart w:id="1004" w:name="Tc_BEtGhr9nVUy-0Km6XRYf4g_14_3"/>
      <w:bookmarkStart w:id="1005" w:name="Tc_5dYdG1RuJ061gDxE8NeGAw_14_0"/>
      <w:bookmarkStart w:id="1006" w:name="Tc_ENSMmMrQu0awbvesTK31Nw_13_6"/>
      <w:bookmarkStart w:id="1007" w:name="Tc_ZtVYMXiK1kuVWZS_kEAwwA_13_0"/>
      <w:bookmarkStart w:id="1008" w:name="Tc_WQK3vo37o0ilRMhiHpf9jA_12_9"/>
      <w:bookmarkStart w:id="1009" w:name="Tc_84GrvKt3Xku8RsOJTnYpXQ_12_6"/>
      <w:bookmarkStart w:id="1010" w:name="Tc_BkVpzLKnwkqQpyuCGzzSlA_12_0"/>
      <w:bookmarkStart w:id="1011" w:name="Tc_jEHSWJ8YNUWU3TEaVXbndA_11_6"/>
      <w:bookmarkStart w:id="1012" w:name="Tc_QXp_xf0z6EWIK3jXScBdeg_11_0"/>
      <w:bookmarkStart w:id="1013" w:name="Tc_LyF5xtE7HUGUtEx6BlzUeA_10_9"/>
      <w:bookmarkStart w:id="1014" w:name="Tc_GMk8oTtft0mO9pVTPCschg_10_6"/>
      <w:bookmarkStart w:id="1015" w:name="Tc_uv8-uENFbUaAS4MUcQocsQ_10_0"/>
      <w:bookmarkStart w:id="1016" w:name="Tc_4AqKMXOO50uSx4p5ZikBtA_9_11"/>
      <w:bookmarkStart w:id="1017" w:name="Tc_dgu7wNx4E0mo4X34R4hJtw_9_9"/>
      <w:bookmarkStart w:id="1018" w:name="Tc_8T2fvO4FG0OYHzUIqdTtxA_9_8"/>
      <w:bookmarkStart w:id="1019" w:name="Tc_FqvH7pyg6kaxKtLKW8ZezQ_9_6"/>
      <w:bookmarkStart w:id="1020" w:name="Tc_WvbitZUbBU6qfKwUtQNgvA_9_5"/>
      <w:bookmarkStart w:id="1021" w:name="Tc_khSUdxwPcEKugXvO0X_chQ_9_2"/>
      <w:bookmarkStart w:id="1022" w:name="Tc_HKwnBeSzj0i4E8AbInAdmA_9_0"/>
      <w:bookmarkStart w:id="1023" w:name="Tc_WcqDFRA05kCHxjyVeJwzQg_8_0"/>
      <w:bookmarkStart w:id="1024" w:name="Tc_ehyTMbVX5UCCStWuERChrQ_6_11"/>
      <w:bookmarkStart w:id="1025" w:name="Tc_u76IGcJmg0uDnfnl0T8cvw_6_8"/>
      <w:bookmarkStart w:id="1026" w:name="Tc_eaTgV5Tk2kiLVExRwaKDRQ_6_5"/>
      <w:bookmarkStart w:id="1027" w:name="Tc_6IJmgGattkeSf-fAwHg4RA_6_2"/>
      <w:bookmarkStart w:id="1028" w:name="Tc_xP8EO33zaUGxQ2IZCKOU9g_6_0"/>
      <w:bookmarkStart w:id="1029" w:name="Tc_XZNMlglQKk2mfvWsRGm3Gw_5_0"/>
      <w:bookmarkStart w:id="1030" w:name="Tc_I1MzYOAtj0eVMcwmp_l3hw_4_11"/>
      <w:bookmarkStart w:id="1031" w:name="Tc_2FL-AsSo2kOsadLVL3gyAw_4_8"/>
      <w:bookmarkStart w:id="1032" w:name="Tc_iZFAnNcY2k-RklSKBwD2cw_4_5"/>
      <w:bookmarkStart w:id="1033" w:name="Tc_FUNxXPhgckSeLKR0UE7OLw_4_2"/>
      <w:bookmarkStart w:id="1034" w:name="Tc_pSZf6o51PUGD_G45fNSJ2Q_4_0"/>
      <w:bookmarkStart w:id="1035" w:name="Tc_zeddlFUK3EK2EDaUA8hz6g_3_0"/>
      <w:bookmarkStart w:id="1036" w:name="Tc_cAF4zsata0mVJmyXSsVL7A_2_11"/>
      <w:bookmarkStart w:id="1037" w:name="Tc_nLbxO_hGw02vJ-ukfOs3-Q_2_8"/>
      <w:bookmarkStart w:id="1038" w:name="Tc_NUXD2I25xEe6v10AbsRUXw_2_5"/>
      <w:bookmarkStart w:id="1039" w:name="Tc_Rw12eaCGKUWGEYLgXadv0A_2_2"/>
      <w:bookmarkStart w:id="1040" w:name="Tc_iRnCsXbrnk2wWL3Qh7SD0g_1_2"/>
      <w:bookmarkStart w:id="1041" w:name="_96e785db_bccb_4bc0_a99e_0b43d98069ab"/>
      <w:bookmarkStart w:id="1042" w:name="Tc_KDGphkXVjUubwvD0YWAFug_15_11"/>
      <w:bookmarkStart w:id="1043" w:name="Tc_sdyOWQ1nD0K16TZxTKBjmQ_15_8"/>
      <w:bookmarkStart w:id="1044" w:name="Tc_hXKIlfz5WEu_lp2QiiAohg_15_5"/>
      <w:bookmarkStart w:id="1045" w:name="Tc_n2hmXxcfAkyLyT9l0FluwA_15_2"/>
      <w:bookmarkStart w:id="1046" w:name="Tc_lyEUDT45_Ui9eWBgsHmDbQ_15_0"/>
      <w:bookmarkStart w:id="1047" w:name="Tc_PaaIj_1Oz0qrjr5-XAlM7g_14_3"/>
      <w:bookmarkStart w:id="1048" w:name="Tc_G-yYTSdSWES9R8xttrhZvw_14_0"/>
      <w:bookmarkStart w:id="1049" w:name="Tc_mNzDtyBvJUWAD5GGjrrqHg_13_9"/>
      <w:bookmarkStart w:id="1050" w:name="Tc_Ak7bv3VRe0CbyWjAyJDxsA_13_6"/>
      <w:bookmarkStart w:id="1051" w:name="Tc_Ldn0eSlYPUSM_bcFsh4lAQ_13_0"/>
      <w:bookmarkStart w:id="1052" w:name="Tc_s06WmXvct06jlv8ut2qMdg_12_9"/>
      <w:bookmarkStart w:id="1053" w:name="Tc_D5yXpWRJcU69gTGKt9ldHw_12_6"/>
      <w:bookmarkStart w:id="1054" w:name="Tc_joA7uT3Eak6HooamEYlIaA_12_0"/>
      <w:bookmarkStart w:id="1055" w:name="Tc_VS7zkmp_oU6Kr-jvU9oFLg_11_6"/>
      <w:bookmarkStart w:id="1056" w:name="Tc_3HVCLbATc0WsJ4eKAP5RUw_11_0"/>
      <w:bookmarkStart w:id="1057" w:name="Tc_PNY5mDggoEOFmApRt_b_PA_10_9"/>
      <w:bookmarkStart w:id="1058" w:name="Tc_Zd4uTlZg0Ua5opvhL202RQ_10_6"/>
      <w:bookmarkStart w:id="1059" w:name="Tc_5553EP30dUWLX1w78wN_5w_10_0"/>
      <w:bookmarkStart w:id="1060" w:name="Tc_Gml1biXS1E6Zl_i0fI3ygA_9_11"/>
      <w:bookmarkStart w:id="1061" w:name="Tc_3ld8tMhiQESbZ9jyh3gl6w_9_9"/>
      <w:bookmarkStart w:id="1062" w:name="Tc_7hKpuwEbBEi7Rku4Cq7NmA_9_8"/>
      <w:bookmarkStart w:id="1063" w:name="Tc_hDYPKN4Hc0qBNnSsjWq_Dw_9_6"/>
      <w:bookmarkStart w:id="1064" w:name="Tc_fDywZTcpv0eKh7s8NdVfGQ_9_5"/>
      <w:bookmarkStart w:id="1065" w:name="Tc_MeWwCDwU00mxuhVFJrEMIg_9_2"/>
      <w:bookmarkStart w:id="1066" w:name="Tc_uhUTpAuPPEmoByjCBnD6bA_9_0"/>
      <w:bookmarkStart w:id="1067" w:name="Tc_XBWeqWJM_0KrtAR_ZhsrIQ_8_0"/>
      <w:bookmarkStart w:id="1068" w:name="Tc_Qq_O92t2UUuA8sL_aXdO0Q_6_11"/>
      <w:bookmarkStart w:id="1069" w:name="Tc_RQJNeXkEF0quouVg3GJO0A_6_8"/>
      <w:bookmarkStart w:id="1070" w:name="Tc_YqBYud--akCtxUtepiYO7Q_6_5"/>
      <w:bookmarkStart w:id="1071" w:name="Tc_DuMlmp9XSUqohd6EzE1i1Q_6_2"/>
      <w:bookmarkStart w:id="1072" w:name="Tc_vSGYU3_Y-USxaiVzM_3OVg_6_0"/>
      <w:bookmarkStart w:id="1073" w:name="Tc_LLublpk3BEawXm0kBIME_g_5_9"/>
      <w:bookmarkStart w:id="1074" w:name="Tc_9LdQoMsSuE6JnellzWyxKQ_5_0"/>
      <w:bookmarkStart w:id="1075" w:name="Tc_R_jdEXcfrESHHLCdkHtScw_4_11"/>
      <w:bookmarkStart w:id="1076" w:name="Tc_9mmUP1P520CtkCPDWtOzvA_4_8"/>
      <w:bookmarkStart w:id="1077" w:name="Tc_y5cfhN3Al06oDMBqtusMtw_4_5"/>
      <w:bookmarkStart w:id="1078" w:name="Tc_NDQAYNSS-U-xi-QMUNOYDQ_4_2"/>
      <w:bookmarkStart w:id="1079" w:name="Tc_0V_LA1aBo02OSFSKY_Bw4A_4_0"/>
      <w:bookmarkStart w:id="1080" w:name="Tc_vKPTl9N9tUyl2UFeKq4_fw_3_0"/>
      <w:bookmarkStart w:id="1081" w:name="Tc_c11vGU8-NkiKm97SxQ19hw_2_11"/>
      <w:bookmarkStart w:id="1082" w:name="Tc_FSa1DM0tDUOgQZSBiUuKnQ_2_8"/>
      <w:bookmarkStart w:id="1083" w:name="Tc_RRvpzP23x0KwAtowY2vY4A_2_5"/>
      <w:bookmarkStart w:id="1084" w:name="Tc_vMimBAphPEytkrvQ7aghdw_2_2"/>
      <w:bookmarkStart w:id="1085" w:name="Tc_MPgPa8U6nU63iP-4hMkhbA_1_2"/>
      <w:bookmarkStart w:id="1086" w:name="_9829c43a_d766_4c98_9cfe_9dc093d03896"/>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Times New Roman;Times;serif" w:hAnsi="Times New Roman;Times;serif"/>
          <w:sz w:val="20"/>
        </w:rPr>
        <w:t>In the first quarter of fiscal 2026, the Company revised its product line presentation to better reflect how the business is currently managed. Within the Infrastructure segment, product lines are now presented as North America Utility, North America Lighting and Transportation, North America Coatings, North America Telecommunications, and International Infrastructure and Solar, replacing the previous presentation of Utility, Lighting and Transportation, Coatings, Telecommunications, and Solar. Within the Agriculture segment, product lines are now presented as Agriculture, replacing the previous presentation of Irrigation Equipment and Parts and Technology Products and Services. The prior period product line amounts have been recast to conform to the current period presentation.</w:t>
      </w:r>
    </w:p>
    <w:p>
      <w:pPr>
        <w:pStyle w:val="TextBody"/>
        <w:bidi w:val="0"/>
        <w:spacing w:before="0" w:after="0"/>
        <w:ind w:left="0" w:right="0" w:hanging="0"/>
        <w:jc w:val="left"/>
        <w:rPr/>
      </w:pPr>
      <w:r>
        <w:rPr/>
        <w:t>​</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March 28,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667,528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139,593</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803,401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138,393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87,403</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225,796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805,921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226,996</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1,029,197</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424,184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424,184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118,652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118,652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63,134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60,393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61,504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61,504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138,447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138,447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226,996</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226,017</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805,921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226,996</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1,029,197</w:t>
            </w:r>
          </w:p>
        </w:tc>
      </w:tr>
    </w:tbl>
    <w:p>
      <w:pPr>
        <w:pStyle w:val="TextBody"/>
        <w:bidi w:val="0"/>
        <w:spacing w:before="0" w:after="0"/>
        <w:ind w:left="0" w:right="0" w:hanging="0"/>
        <w:jc w:val="left"/>
        <w:rPr>
          <w:shd w:fill="FFFF00" w:val="clear"/>
        </w:rPr>
      </w:pPr>
      <w:r>
        <w:rPr>
          <w:shd w:fill="FFFF00" w:val="clear"/>
        </w:rPr>
        <w:t>​</w:t>
      </w:r>
    </w:p>
    <w:tbl>
      <w:tblPr>
        <w:tblW w:w="8934"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346"/>
        <w:gridCol w:w="276"/>
        <w:gridCol w:w="805"/>
        <w:gridCol w:w="346"/>
        <w:gridCol w:w="219"/>
        <w:gridCol w:w="892"/>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7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March 29,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577,197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137,476</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(4,112)</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710,561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129,024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129,795</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258,753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706,221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267,271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(4,178)</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969,314</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332,836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332,836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124,123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124,123</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55,708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53,044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63,988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63,988</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129,566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129,500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267,271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265,823</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706,221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267,271</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(4,178)</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969,314</w:t>
            </w:r>
          </w:p>
        </w:tc>
      </w:tr>
    </w:tbl>
    <w:p>
      <w:pPr>
        <w:pStyle w:val="TextBody"/>
        <w:bidi w:val="0"/>
        <w:spacing w:before="0" w:after="0"/>
        <w:ind w:left="0" w:right="0" w:hanging="0"/>
        <w:jc w:val="left"/>
        <w:rPr>
          <w:shd w:fill="FFFF00" w:val="clear"/>
        </w:rPr>
      </w:pPr>
      <w:r>
        <w:rPr>
          <w:shd w:fill="FFFF00" w:val="clear"/>
        </w:rPr>
        <w:t>​</w:t>
      </w:r>
    </w:p>
    <w:tbl>
      <w:tblPr>
        <w:tblW w:w="5030" w:type="dxa"/>
        <w:jc w:val="left"/>
        <w:tblInd w:w="0" w:type="dxa"/>
        <w:tblLayout w:type="fixed"/>
        <w:tblCellMar>
          <w:top w:w="0" w:type="dxa"/>
          <w:left w:w="0" w:type="dxa"/>
          <w:bottom w:w="0" w:type="dxa"/>
          <w:right w:w="0" w:type="dxa"/>
        </w:tblCellMar>
      </w:tblPr>
      <w:tblGrid>
        <w:gridCol w:w="2131"/>
        <w:gridCol w:w="346"/>
        <w:gridCol w:w="196"/>
        <w:gridCol w:w="826"/>
        <w:gridCol w:w="346"/>
        <w:gridCol w:w="206"/>
        <w:gridCol w:w="979"/>
      </w:tblGrid>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pPr>
            <w:r>
              <w:rPr/>
              <w:t>  ​</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2,336,164</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2,312,500</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823,890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768,715</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3,160,054</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3,081,215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275,111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288,114</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3,435,165</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87" w:name="Tc_75TXS4LiSE-EGn6YS2UUag_9_5"/>
      <w:bookmarkStart w:id="1088" w:name="Tc_bS_w5scVTUyVA8N0zit0Ig_9_2"/>
      <w:bookmarkStart w:id="1089" w:name="Tc_xS1nrOdZWUqUyKmKSC2cwg_9_0"/>
      <w:bookmarkStart w:id="1090" w:name="Tc_IojQzylI4kuPgmxDX3yMVA_8_0"/>
      <w:bookmarkStart w:id="1091" w:name="Tc_h46JshHvxk-wABw2wOkDfQ_7_0"/>
      <w:bookmarkStart w:id="1092" w:name="Tc_7q8vMgOzfUCXBuPMin8tsQ_6_0"/>
      <w:bookmarkStart w:id="1093" w:name="Tc_Uj6yOrAK50CqqNh8ytxBlA_5_5"/>
      <w:bookmarkStart w:id="1094" w:name="Tc_1EqyxoKC-EOEYkDsuUfS9g_5_2"/>
      <w:bookmarkStart w:id="1095" w:name="Tc_QTw7bu_30ESlJj87iTIwSw_5_0"/>
      <w:bookmarkStart w:id="1096" w:name="Tc_odSbG1vEZkCoAHkMO-duuA_4_0"/>
      <w:bookmarkStart w:id="1097" w:name="Tc_VU4u8pXnXUiMPm3xhhFQmg_3_5"/>
      <w:bookmarkStart w:id="1098" w:name="Tc_byemJaBQKkCdW2zVif8Czg_3_2"/>
      <w:bookmarkStart w:id="1099" w:name="Tc_Q7W03ko-tUWdzg3piAkdJQ_2_5"/>
      <w:bookmarkStart w:id="1100" w:name="Tc_Nlv429WhkkiFWpUHe8efzw_2_2"/>
      <w:bookmarkStart w:id="1101" w:name="Tc_nhvDXoR31EqiFnETJ07BjA_1_2"/>
      <w:bookmarkStart w:id="1102" w:name="_95919a90_41e8_4efc_ad6a_07a7fa262ec1"/>
      <w:bookmarkStart w:id="1103" w:name="Tc_nsEOmAD7j0GkGQ5Q2C1YiA_9_5"/>
      <w:bookmarkStart w:id="1104" w:name="Tc_W-BRkTfXlkKXwlpZdpLQIw_9_2"/>
      <w:bookmarkStart w:id="1105" w:name="Tc_OYdbQxaMbEG2IUfLzZJGgg_9_0"/>
      <w:bookmarkStart w:id="1106" w:name="Tc_Nmyefkos0kSowVsu5lKT9Q_8_0"/>
      <w:bookmarkStart w:id="1107" w:name="Tc_cWaJxekJ6EqUS2CVn-hyIA_7_0"/>
      <w:bookmarkStart w:id="1108" w:name="Tc_vldyYy2J6EKCuhaF76DfCg_6_0"/>
      <w:bookmarkStart w:id="1109" w:name="Tc_OM4nx-GV4UO54uNK0MlP7g_5_5"/>
      <w:bookmarkStart w:id="1110" w:name="Tc_JAMX7g9hB0WbprGtBkTh7Q_5_2"/>
      <w:bookmarkStart w:id="1111" w:name="Tc_3TVbJs2XQk2fQ4Ofr4cVDg_5_0"/>
      <w:bookmarkStart w:id="1112" w:name="Tc_bcyGdGxUzUKWeD-it-7KWQ_4_0"/>
      <w:bookmarkStart w:id="1113" w:name="Tc_KlHfX4NEH0Sj2FthZ1GSqA_3_5"/>
      <w:bookmarkStart w:id="1114" w:name="Tc_4Cpx552soUicUahjg3_aug_3_2"/>
      <w:bookmarkStart w:id="1115" w:name="Tc_QaQ5Drtu5kCrCleP4sy4mg_2_5"/>
      <w:bookmarkStart w:id="1116" w:name="Tc_flv7it4TD0qjRyT06uH4nw_2_2"/>
      <w:bookmarkStart w:id="1117" w:name="Tc_AsCscst6mEKX9hZt3Cc7mw_1_2"/>
      <w:bookmarkStart w:id="1118" w:name="_8dfb7e4f_3288_4cb0_b838_de0391221372"/>
      <w:bookmarkStart w:id="1119" w:name="Tc_75TXS4LiSE-EGn6YS2UUag_9_5"/>
      <w:bookmarkStart w:id="1120" w:name="Tc_bS_w5scVTUyVA8N0zit0Ig_9_2"/>
      <w:bookmarkStart w:id="1121" w:name="Tc_xS1nrOdZWUqUyKmKSC2cwg_9_0"/>
      <w:bookmarkStart w:id="1122" w:name="Tc_IojQzylI4kuPgmxDX3yMVA_8_0"/>
      <w:bookmarkStart w:id="1123" w:name="Tc_h46JshHvxk-wABw2wOkDfQ_7_0"/>
      <w:bookmarkStart w:id="1124" w:name="Tc_7q8vMgOzfUCXBuPMin8tsQ_6_0"/>
      <w:bookmarkStart w:id="1125" w:name="Tc_Uj6yOrAK50CqqNh8ytxBlA_5_5"/>
      <w:bookmarkStart w:id="1126" w:name="Tc_1EqyxoKC-EOEYkDsuUfS9g_5_2"/>
      <w:bookmarkStart w:id="1127" w:name="Tc_QTw7bu_30ESlJj87iTIwSw_5_0"/>
      <w:bookmarkStart w:id="1128" w:name="Tc_odSbG1vEZkCoAHkMO-duuA_4_0"/>
      <w:bookmarkStart w:id="1129" w:name="Tc_VU4u8pXnXUiMPm3xhhFQmg_3_5"/>
      <w:bookmarkStart w:id="1130" w:name="Tc_byemJaBQKkCdW2zVif8Czg_3_2"/>
      <w:bookmarkStart w:id="1131" w:name="Tc_Q7W03ko-tUWdzg3piAkdJQ_2_5"/>
      <w:bookmarkStart w:id="1132" w:name="Tc_Nlv429WhkkiFWpUHe8efzw_2_2"/>
      <w:bookmarkStart w:id="1133" w:name="Tc_nhvDXoR31EqiFnETJ07BjA_1_2"/>
      <w:bookmarkStart w:id="1134" w:name="_95919a90_41e8_4efc_ad6a_07a7fa262ec1"/>
      <w:bookmarkStart w:id="1135" w:name="Tc_nsEOmAD7j0GkGQ5Q2C1YiA_9_5"/>
      <w:bookmarkStart w:id="1136" w:name="Tc_W-BRkTfXlkKXwlpZdpLQIw_9_2"/>
      <w:bookmarkStart w:id="1137" w:name="Tc_OYdbQxaMbEG2IUfLzZJGgg_9_0"/>
      <w:bookmarkStart w:id="1138" w:name="Tc_Nmyefkos0kSowVsu5lKT9Q_8_0"/>
      <w:bookmarkStart w:id="1139" w:name="Tc_cWaJxekJ6EqUS2CVn-hyIA_7_0"/>
      <w:bookmarkStart w:id="1140" w:name="Tc_vldyYy2J6EKCuhaF76DfCg_6_0"/>
      <w:bookmarkStart w:id="1141" w:name="Tc_OM4nx-GV4UO54uNK0MlP7g_5_5"/>
      <w:bookmarkStart w:id="1142" w:name="Tc_JAMX7g9hB0WbprGtBkTh7Q_5_2"/>
      <w:bookmarkStart w:id="1143" w:name="Tc_3TVbJs2XQk2fQ4Ofr4cVDg_5_0"/>
      <w:bookmarkStart w:id="1144" w:name="Tc_bcyGdGxUzUKWeD-it-7KWQ_4_0"/>
      <w:bookmarkStart w:id="1145" w:name="Tc_KlHfX4NEH0Sj2FthZ1GSqA_3_5"/>
      <w:bookmarkStart w:id="1146" w:name="Tc_4Cpx552soUicUahjg3_aug_3_2"/>
      <w:bookmarkStart w:id="1147" w:name="Tc_QaQ5Drtu5kCrCleP4sy4mg_2_5"/>
      <w:bookmarkStart w:id="1148" w:name="Tc_flv7it4TD0qjRyT06uH4nw_2_2"/>
      <w:bookmarkStart w:id="1149" w:name="Tc_AsCscst6mEKX9hZt3Cc7mw_1_2"/>
      <w:bookmarkStart w:id="1150" w:name="_8dfb7e4f_3288_4cb0_b838_de0391221372"/>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p>
    <w:tbl>
      <w:tblPr>
        <w:tblW w:w="5613" w:type="dxa"/>
        <w:jc w:val="left"/>
        <w:tblInd w:w="0" w:type="dxa"/>
        <w:tblLayout w:type="fixed"/>
        <w:tblCellMar>
          <w:top w:w="0" w:type="dxa"/>
          <w:left w:w="0" w:type="dxa"/>
          <w:bottom w:w="0" w:type="dxa"/>
          <w:right w:w="0" w:type="dxa"/>
        </w:tblCellMar>
      </w:tblPr>
      <w:tblGrid>
        <w:gridCol w:w="3106"/>
        <w:gridCol w:w="346"/>
        <w:gridCol w:w="217"/>
        <w:gridCol w:w="668"/>
        <w:gridCol w:w="346"/>
        <w:gridCol w:w="202"/>
        <w:gridCol w:w="728"/>
      </w:tblGrid>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30,806</w:t>
            </w:r>
          </w:p>
        </w:tc>
        <w:tc>
          <w:tcPr>
            <w:tcW w:w="346" w:type="dxa"/>
            <w:tcBorders/>
            <w:vAlign w:val="center"/>
          </w:tcPr>
          <w:p>
            <w:pPr>
              <w:pStyle w:val="TableContents"/>
              <w:bidi w:val="0"/>
              <w:spacing w:before="0" w:after="1"/>
              <w:ind w:left="0" w:right="0" w:hanging="0"/>
              <w:jc w:val="left"/>
              <w:rPr/>
            </w:pPr>
            <w:r>
              <w:rPr/>
              <w:t> </w:t>
            </w:r>
          </w:p>
        </w:tc>
        <w:tc>
          <w:tcPr>
            <w:tcW w:w="2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25,932</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2,622</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2,232</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capital expenditures</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33,428</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28,164</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capital expenditures</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1,140</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2,155</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capital expenditures</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34,568</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30,319</w:t>
            </w:r>
          </w:p>
        </w:tc>
      </w:tr>
    </w:tbl>
    <w:p>
      <w:pPr>
        <w:pStyle w:val="TextBody"/>
        <w:bidi w:val="0"/>
        <w:spacing w:before="0" w:after="240"/>
        <w:ind w:left="0" w:right="0" w:hanging="0"/>
        <w:jc w:val="left"/>
        <w:rPr>
          <w:shd w:fill="FFFF00" w:val="clear"/>
        </w:rPr>
      </w:pPr>
      <w:r>
        <w:rPr>
          <w:shd w:fill="FFFF00" w:val="clear"/>
        </w:rPr>
        <w:t>​</w:t>
      </w:r>
    </w:p>
    <w:tbl>
      <w:tblPr>
        <w:tblW w:w="6903" w:type="dxa"/>
        <w:jc w:val="left"/>
        <w:tblInd w:w="0" w:type="dxa"/>
        <w:tblLayout w:type="fixed"/>
        <w:tblCellMar>
          <w:top w:w="0" w:type="dxa"/>
          <w:left w:w="0" w:type="dxa"/>
          <w:bottom w:w="0" w:type="dxa"/>
          <w:right w:w="0" w:type="dxa"/>
        </w:tblCellMar>
      </w:tblPr>
      <w:tblGrid>
        <w:gridCol w:w="4396"/>
        <w:gridCol w:w="346"/>
        <w:gridCol w:w="217"/>
        <w:gridCol w:w="668"/>
        <w:gridCol w:w="346"/>
        <w:gridCol w:w="202"/>
        <w:gridCol w:w="728"/>
      </w:tblGrid>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center"/>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17,635</w:t>
            </w:r>
          </w:p>
        </w:tc>
        <w:tc>
          <w:tcPr>
            <w:tcW w:w="346" w:type="dxa"/>
            <w:tcBorders/>
            <w:vAlign w:val="center"/>
          </w:tcPr>
          <w:p>
            <w:pPr>
              <w:pStyle w:val="TableContents"/>
              <w:bidi w:val="0"/>
              <w:spacing w:before="0" w:after="1"/>
              <w:ind w:left="0" w:right="0" w:hanging="0"/>
              <w:jc w:val="left"/>
              <w:rPr/>
            </w:pPr>
            <w:r>
              <w:rPr/>
              <w:t> </w:t>
            </w:r>
          </w:p>
        </w:tc>
        <w:tc>
          <w:tcPr>
            <w:tcW w:w="2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15,582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3,466</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21,101</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19,393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depreciation and amortization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1,506</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22,607</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21,518</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1" w:name="ITEM2MANAGEMENTSDISCUSSIONANDANALYSISOFF"/>
      <w:bookmarkStart w:id="1152" w:name="_6482b864_785f_46c9_b01a_fc62a6e1a27d"/>
      <w:bookmarkEnd w:id="1151"/>
      <w:bookmarkEnd w:id="115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 Industries, Inc., along with its subsidiaries (collectively referred to as the “Company,” “Valmont,” “we,” “us,” or “our”), is a diversified manufacturer of products and services for infrastructure and agriculture markets. Founded in 1946 and headquartered in Omaha, Nebraska, our purpose is to conserve resources and improve life.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contain forward-looking statements as defined by the Private Securities Litigation Reform Act of 1995. These statements are based on assumptions that management has made in light of experience in the industries in which the Company operates, as well as management’s perceptions of historical trends, current conditions, anticipated future developments, and other factors deemed to be relevant. However, these statements are not guarantees of future performance or results. They are subject to risks, uncertainties (some beyond the Company’s control), and various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believes these forward-looking statements are based on reasonable assumptions. However, many factors could cause the actual financial results to differ materially from expectations. These factors include, among others, risk factors described in the Company’s reports to the Securities and Exchange Commission, as well as future economic and market conditions, industry trends, Company performance and financial results, operational efficiencies, availability and pricing of raw materials, availability and market acceptance of new products, product pricing, domestic and international competition, and actions or policy changes by domestic and foreign governments.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should be read in conjunction with the financial statements and notes thereto, and the management’s discussion and analysis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Segment net sales in the following table and elsewhere are presented net of intersegment sales. See Note 14 of our Condensed Consolidated Financial Statements for additional information on segment sales and intersegment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Results of Operations</w:t>
      </w:r>
    </w:p>
    <w:tbl>
      <w:tblPr>
        <w:tblW w:w="7050" w:type="dxa"/>
        <w:jc w:val="left"/>
        <w:tblInd w:w="0" w:type="dxa"/>
        <w:tblLayout w:type="fixed"/>
        <w:tblCellMar>
          <w:top w:w="0" w:type="dxa"/>
          <w:left w:w="0" w:type="dxa"/>
          <w:bottom w:w="0" w:type="dxa"/>
          <w:right w:w="0" w:type="dxa"/>
        </w:tblCellMar>
      </w:tblPr>
      <w:tblGrid>
        <w:gridCol w:w="3796"/>
        <w:gridCol w:w="109"/>
        <w:gridCol w:w="196"/>
        <w:gridCol w:w="826"/>
        <w:gridCol w:w="346"/>
        <w:gridCol w:w="196"/>
        <w:gridCol w:w="721"/>
        <w:gridCol w:w="109"/>
        <w:gridCol w:w="751"/>
      </w:tblGrid>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 except per-share amounts</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28, 2026</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29, 2025</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969,314</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316,878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291,102</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161,252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162,788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128,314</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87,261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27.5%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Infrastructure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703,491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212,875</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95,663</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143,023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117,212</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22.0%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Agriculture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265,823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78,227</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41,990</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36,237</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Corporate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25,135</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(16.8%)</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(25,135)</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net sales increased by $59.9 million or 6.2% in the first quarter of fiscal 2026, as compared to the same period of fiscal 2025. The increase was primarily driven by higher net sales in the Infrastructure segment, particularly within the North America Utility product line, partially offset by lower net sales in the Agriculture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gross profit increased by $25.8 million or 8.9% in the first quarter of fiscal 2026, as compared to the same period of fiscal 2025. The increase was largely attributable to favorable pricing and higher sales volumes in the Infrastructure segment, particularly within the North America Utility product line, as well as higher average selling prices in North America in the Agriculture segment. These improvements were partially offset by lower sales volumes in the Agriculture segment, largely in the Middle East and Brazil.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selling, general, and administrative (“SG&amp;A”) expenses decreased by $1.5 million or 0.9% in the first quarter of fiscal 2026, as compared to the same period of fiscal 2025, driven mainly by lower compensation costs from reduced employee headcount, partially offset by increased incentive compensation resulting from improved performance in the North America Utility product 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operating income increased by $27.3 million or 21.3% in the first quarter of fiscal 2026, as compared to the same period of fiscal 2025. The increase was primarily due to improved pricing and higher sales volumes in the Infrastructure segment, partially offset by lower sales volumes in the Agriculture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effective income tax rate in the first quarter of fiscal 2026 was 25.6%, as compared to 26.1% in the same period of fiscal 2025. The decrease in the effective tax rate was primarily attributable to a more favorable geographic mix of earnings.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Infrastructure Segment</w:t>
      </w:r>
    </w:p>
    <w:tbl>
      <w:tblPr>
        <w:tblW w:w="7947" w:type="dxa"/>
        <w:jc w:val="left"/>
        <w:tblInd w:w="0" w:type="dxa"/>
        <w:tblLayout w:type="fixed"/>
        <w:tblCellMar>
          <w:top w:w="0" w:type="dxa"/>
          <w:left w:w="0" w:type="dxa"/>
          <w:bottom w:w="0" w:type="dxa"/>
          <w:right w:w="0" w:type="dxa"/>
        </w:tblCellMar>
      </w:tblPr>
      <w:tblGrid>
        <w:gridCol w:w="3211"/>
        <w:gridCol w:w="346"/>
        <w:gridCol w:w="196"/>
        <w:gridCol w:w="691"/>
        <w:gridCol w:w="346"/>
        <w:gridCol w:w="196"/>
        <w:gridCol w:w="691"/>
        <w:gridCol w:w="346"/>
        <w:gridCol w:w="196"/>
        <w:gridCol w:w="631"/>
        <w:gridCol w:w="346"/>
        <w:gridCol w:w="751"/>
      </w:tblGrid>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c>
          <w:tcPr>
            <w:tcW w:w="346" w:type="dxa"/>
            <w:tcBorders/>
            <w:vAlign w:val="center"/>
          </w:tcPr>
          <w:p>
            <w:pPr>
              <w:pStyle w:val="TableContents"/>
              <w:bidi w:val="0"/>
              <w:spacing w:before="0" w:after="1"/>
              <w:ind w:left="0" w:right="0" w:hanging="0"/>
              <w:jc w:val="left"/>
              <w:rPr/>
            </w:pPr>
            <w:r>
              <w:rPr/>
              <w:t>​</w:t>
            </w:r>
          </w:p>
        </w:tc>
        <w:tc>
          <w:tcPr>
            <w:tcW w:w="82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424,184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332,836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91,348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27.4%</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118,652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124,123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(5,471)</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(4.4%)</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55,708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13.3%</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63,988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(2,484)</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(3.9%)</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138,447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129,566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8,881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805,921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706,221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99,700</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14.1%</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117,212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25,811</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22.0%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Infrastructure segment sales increased by $99.7 million or 14.1% in the first quarter of fiscal 2026, as compared to the same period of fiscal 2025. The increase was driven by favorable pricing and higher sales volumes in the North America Utility product line, as well as increased volumes in the North America Coatings product line. These increases more than offset declines in the North America Lighting and Transportation (“L&amp;T”) and North America Telecommunications product lines. Foreign currency translation favorably impacted the first quarter of fiscal 2026 results by approximately $12.0 million.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North America Utility product line sales increased by $91.3 million or 27.4% in the first quarter of fiscal 2026, as compared to the same period of fiscal 2025, reflecting favorable pricing and higher sales volumes. Demand remained strong, supported by increased electrical energy consumption and continued utility investment to expand and reinforce grid capacity, including to serve growing power demand from data centers and other sources of load growth.</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North America L&amp;T product line sales decreased by $5.5 million or 4.4% in the first quarter of fiscal 2026, as compared to the same period of fiscal 2025, driven by lower sales volumes resulting from certain operational challenges, partially offset by favorable pricing.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North America Coatings product line sales increased by $7.4 million or 13.3% in the first quarter of fiscal 2026, as compared to the same period of fiscal 2025, driven by favorable pricing and higher volumes, benefiting from continued strength in infrastructure-related and data center demand.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North America Telecommunications product line sales decreased by $2.5 million or 3.9% in the first quarter of fiscal 2026, as compared to the same period of fiscal 2025, primarily due to lower sales volumes associated with slightly lower carrier spending.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International Infrastructure and Solar product line sales increased by $8.9 million or 6.9% in the first quarter of fiscal 2026, as compared to the same period of fiscal 2025, largely due to favorable foreign currency translation impacts totaling approximately $11.3 million, partially offset by lower telecommunications sales volumes.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gross profit increased by $31.3 million or 14.7% in the first quarter of fiscal 2026, as compared to the same period of fiscal 2025, primarily due to favorable pricing and higher sales volumes in the North America Utility and the North America Coatings product lines.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SG&amp;A expenses increased by $5.5 million or 5.8% in the first quarter of fiscal 2026, as compared to the same period of fiscal 2025. The increase was primarily driven by higher compensation and incentives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operating income increased by $25.8 million or 22.0% in the first quarter of fiscal 2026, as compared to the same period of fiscal 2025. The increase was primarily attributable to higher pricing and sales volumes, along with an improved global cost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Agriculture Segment</w:t>
      </w:r>
    </w:p>
    <w:tbl>
      <w:tblPr>
        <w:tblW w:w="6462" w:type="dxa"/>
        <w:jc w:val="left"/>
        <w:tblInd w:w="0" w:type="dxa"/>
        <w:tblLayout w:type="fixed"/>
        <w:tblCellMar>
          <w:top w:w="0" w:type="dxa"/>
          <w:left w:w="0" w:type="dxa"/>
          <w:bottom w:w="0" w:type="dxa"/>
          <w:right w:w="0" w:type="dxa"/>
        </w:tblCellMar>
      </w:tblPr>
      <w:tblGrid>
        <w:gridCol w:w="1636"/>
        <w:gridCol w:w="346"/>
        <w:gridCol w:w="196"/>
        <w:gridCol w:w="691"/>
        <w:gridCol w:w="346"/>
        <w:gridCol w:w="196"/>
        <w:gridCol w:w="691"/>
        <w:gridCol w:w="346"/>
        <w:gridCol w:w="196"/>
        <w:gridCol w:w="721"/>
        <w:gridCol w:w="346"/>
        <w:gridCol w:w="751"/>
      </w:tblGrid>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139,593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137,476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2,117</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87,403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129,795</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(42,392)</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(32.7%)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226,996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267,271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(40,275)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(15.1%)</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(2,734)</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North America, Agriculture segment sales increased by $2.1 million or 1.5% in the first quarter of fiscal 2026, as compared to the same period of fiscal 2025. The increase was primarily attributable to higher average selling prices, partially offset by lower irrigation equipment sales volumes, reflecting continued softness in the agriculture market. This softness was driven by lower grain prices, uncertainty surrounding trade policy, and the timing of government funding.</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international markets, Agriculture segment sales decreased by $42.4 million or 32.7% in the first quarter of fiscal 2026, as compared to the same period of fiscal 2025. The decline was primarily driven by operational disruptions related to the Middle East conflict, as well as lower sales volumes in Brazil. These impacts were partially offset by favorable foreign currency translation of approximately $5.1 million during the first quarter of fiscal 2026.</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Agriculture business is cyclical and influenced by factors including net farm income, commodity prices, weather volatility, geopolitical events, and farmer sentiment regarding future economic conditions. We closely monitor these variables across our key markets. In the U.S., net farm income estimates published by the U.S. Department of Agriculture are a key indicator of grower purchasing capacity. In Brazil, we monitor grain prices, projected farm input costs, interest rates, and net farm income trends, which collectively influence grower liquidity, credit availability, and purchasing behavior. Looking ahead, we remain focused on managing through evolving market conditions and positioning the Agriculture business for long-term growth across both domestic and international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gross profit decreased by $5.5 million or 7.1% in the first quarter of fiscal 2026, as compared to the same period of fiscal 2025. The decrease primarily reflected lower sales volumes as a result of the Middle East conflict and continued market softness in North America, partially offset by higher average selling prices in North America. Additionally, as of March 28, 2026, our manufacturing facility in Dubai has remained idle leading to abnormal manufacturing variances in the first quarter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SG&amp;A decreased by $2.8 million or 6.7% in the first quarter of fiscal 2026, as compared to the same period of fiscal 2025. The decrease primarily reflected lower compensation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operating income decreased by $2.7 million or 7.5% in the first quarter of fiscal 2026, as compared to the same period of fiscal 2025. The decline was primarily attributable to lower sales volumes, partially offset by reduced SG&amp;A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Corporate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SG&amp;A expenses decreased by $4.2 million or 16.8% in the first quarter of fiscal 2026, as compared to the same period of fiscal 2025, primarily due to lower compensation and technology costs, partially offset by higher incentive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FINANCIAL RESULTS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and Divestitures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strategically enhance our portfolio through targeted acquisitions and divestitures, demonstrating our commitment to refining our business focus and driving value within our core segments. In the first quarter of fiscal 2026, we acquired the remaining 80% ownership interest in RMDS Innovation, Inc., a Quebec-based technology company, included in the Agriculture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Macroeconomic and Geopolitical Impacts on Financial Results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actively monitor a range of macroeconomic and geopolitical uncertainties that have affected, and may continue to affect, our business operations and financial performance. These include volatility in the global economic and trade environment, inflationary cost pressures, supply chain disruptions, foreign currency fluctuations relative to the U.S. dollar, changing interest rates, ongoing international conflicts, and labor shortages. These factors may influence our operational costs, revenue streams, and overall financial stability. As conditions evolve, we are proactively adjusting our business strategies to mitigate potential risks, maintain financial resilience, and ensure sufficient liquidity to support ongoing operations and strategic initiatives.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28, 2026, the United States and Israel commenced military strikes against Iran, which has prompted Iranian retaliatory attacks throughout the broader Middle East region. We have agriculture operations headquartered in Dubai, United Arab Emirates, with business activities conducted in the Middle East. The ongoing conflict has affected, and may continue to adversely affect, our regional operations through disruptions to logistics networks and transportation infrastructure, increases in energy costs, and volatility in regional currency and financial markets. Certain of our customers and suppliers in the region may also be negatively impacted by these events. We continue to actively monitor the evolving situation and take appropriate actions to mitigate the impact on our operations, financial results,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 ad valorem rate applicable to products in which at least 95% of steel content was melted and poured in the U.S. Products that do not meet these requirements are subject to higher tariff rates, including up to 50% on full value. During fiscal 2025, we imported approximately $220.0 million of fabricated steel structures from Mexico into the U.S., which represents the primary category of products affected by these modifications. Based on our current assessment, we believe that the majority of our steel poles produced at our Mexico facility will qualify for the 10% tariff rate, as those structures are produced using U.S. melted and poured steel. Management has interpreted the requirements of the proclamation based on its current understanding and available guidance. Regulatory interpretations may evolve, and authorities could reach conclusions that differ from management’s interpretation. If such differing interpretations were to occur, the Company may be required to modify its practices, which could result in increased costs or changes to reported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Capital Allocation Philosophy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capital allocation priorities are intended to present a balanced approach to maintaining disciplined investments in organic and inorganic growth opportunities while delivering meaningful capital returns to shareholders over the next three to five years. These priorities are expected to be supported by our projected cash flow generation. We plan to allocate approximately 50% of operating cash flow to high-return growth opportunities, focused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strategic capacity expansion, primarily in the Infrastructure segment, to maintain and increase manufacturing output and efficiency while driving innovation to better serve customers,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that strategically augment our competitive position, with a focus on sustainable growth and premium returns on invested capital.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plan to allocate the remaining approximately 50% of operating cash flow to shareholder returns through the form of share repurchases and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March 28, 2026, we had approximately $510.6 million of remaining capacity under the share repurchase program. Since the program’s inception in May 2014, we have repurchased approximately 9.0 million shares for a total of $1.6 billion.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remain committed to maintaining a capital structure that supports our investment-grade credit rating. As of the latest assessments, our credit ratings were Baa2 (stable outlook) by Moody’s Ratings and BBB+ (stable outlook) by S&amp;P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Global Ratings. To support these ratings, we aim to manage our debt-to-invested capital ratio within levels that reinforce our investment-grade status.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 supplier finance program with a financial institution, allowing qualifying suppliers the option to sell their receivables from us to the financial institution under independently negotiated terms. Participation in the program is entirely voluntary for suppliers and does not affect our payment terms, amounts, timing, or liquidity. We have no economic interest in a supplier’s decision to participate. As of March 28, 2026 and December 27, 2025, our accounts payable in the Condensed Consolidated Balance Sheets included $56.4 million and $56.3 million, respectively, related to the obligations under this program.</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Sources of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our available debt financing primarily included senior unsecured notes and a revolving credit facility.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Senior Unsecured Notes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28, 2026, our senior unsecured notes consisted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million face value ($434.7 million carrying value) notes at an interest rate of 5.00% per annum, maturing in October 2044.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 million face value ($295.6 million carrying value) notes at an interest rate of 5.25% per annum, maturing in October 2054.</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retain the option to repurchase these notes by paying a make-whole premium. Both tranches are guaranteed by certain subsidiaries.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Revolving Credit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managed by JPMorgan Chase Bank, N.A., as Administrative Agent, has a maturity date of July 10, 2030. The facility provides up to $800.0 million in unsecured revolving credit, with $400.0 million available for borrowings in foreign currencies. An additional $400.0 million may be added to the facility, subject to lender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Authorized borrowers include the Company and its wholly owned subsidiaries, Valmont Industries Holland B.V. and Valmont Group Pty. Ltd. Obligations under this facility are guaranteed by the Company and its wholly owned subsidiaries, Valmont Telecommunications, Inc., Valmont Coatings, Inc., Valmont Newmark, Inc., and Valmont Queensland Pty. Ltd.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interest rate on our borrowings will be, at our option, either:</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Secured Overnight Financing Rate (“SOFR”), based on a one-, three-, or six-month period, and a spread of 100 to 162.5 basis points, depending on our senior unsecured long-term debt credit rating by S&amp;P Global Ratings and Moody’s Ratings;</w:t>
            </w:r>
          </w:p>
        </w:tc>
      </w:tr>
    </w:tbl>
    <w:tbl>
      <w:tblPr>
        <w:tblW w:w="1641" w:type="dxa"/>
        <w:jc w:val="left"/>
        <w:tblInd w:w="0" w:type="dxa"/>
        <w:tblLayout w:type="fixed"/>
        <w:tblCellMar>
          <w:top w:w="28" w:type="dxa"/>
          <w:left w:w="28" w:type="dxa"/>
          <w:bottom w:w="28" w:type="dxa"/>
          <w:right w:w="28" w:type="dxa"/>
        </w:tblCellMar>
      </w:tblPr>
      <w:tblGrid>
        <w:gridCol w:w="124"/>
        <w:gridCol w:w="331"/>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of</w:t>
            </w:r>
          </w:p>
        </w:tc>
      </w:tr>
    </w:tbl>
    <w:tbl>
      <w:tblPr>
        <w:tblW w:w="2361" w:type="dxa"/>
        <w:jc w:val="left"/>
        <w:tblInd w:w="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prime lending rate,</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overnight bank rate plus 50 basis points,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(based on a one-month period) plus 100 basis points,</w:t>
            </w:r>
          </w:p>
        </w:tc>
      </w:tr>
    </w:tbl>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plus, in each case, 0 to 62.5 basis points, depending on our credit rating; or</w:t>
      </w:r>
    </w:p>
    <w:tbl>
      <w:tblPr>
        <w:tblW w:w="8076" w:type="dxa"/>
        <w:jc w:val="left"/>
        <w:tblInd w:w="0" w:type="dxa"/>
        <w:tblLayout w:type="fixed"/>
        <w:tblCellMar>
          <w:top w:w="28" w:type="dxa"/>
          <w:left w:w="28" w:type="dxa"/>
          <w:bottom w:w="28" w:type="dxa"/>
          <w:right w:w="28" w:type="dxa"/>
        </w:tblCellMar>
      </w:tblPr>
      <w:tblGrid>
        <w:gridCol w:w="124"/>
        <w:gridCol w:w="31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 SOFR and a spread of 100 to 162.5 basis points, depending on our credit rating.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 commitment fee is applied to the average daily unused portion of the facility, ranging from 9 to 20 basis points, based on our credit rating.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we had outstanding borrowings of $60.0 million and $65.0 million, respectively, under this facility. The facility includes a financial covenant that may limit additional borrowing. As of March 28, 2026, we could borrow $739.8 million under the facility, after accounting for $0.2 million in standby letters of credit related to certain insurance obligations. Additionally, we maintain short</w:t>
        <w:noBreakHyphen/>
        <w:t>term bank lines of credit totaling $9.8 million, all of which were unused as of March 28, 2026.</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Covenants and 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Both our senior unsecured notes and revolving credit facility contain cross-default provisions, which allow for the acceleration of debt if we default on other indebtedness that also permits acceleration.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facility requires us to maintain a financial leverage ratio of 3.50 or lower, measured as of the last day of each fiscal quarter. A temporary increase to 3.75 is permitted for the four fiscal quarters following a material acquisition. The leverage ratio is defined as the ratio of: (a) interest-bearing debt, minus unrestricted cash in excess of $50.0 million (but not exceeding $500.0 million), to (b) earnings before interest, taxes, depreciation, and amortization, adjusted for non-cash stock-based compensation and non-recurring non-cash charges or gains, subject to certain limitations (“Adjusted EBITDA”). Additionally, in the event of an acquisition or divestiture, Adjusted EBITDA is calculated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covenants restrict activities such as incurring indebtedness, placing liens, engaging in mergers, making investments, selling assets, paying dividends, conducting affiliate transactions, and making debt prepayments. Customary events of default may trigger the acceleration of obligations, subject to grace periods where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we were in compliance with all covenants related to these debt agreements. For detailed calculations of Adjusted EBITDA and the leverage ratio, please refer to the “Selected Financial Measures” section.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cash needs include working capital, capital expenditures, debt service, taxes, and pension contributions. We may also pursue strategic investments, acquisitions, stock repurchases, or dividends, subject to market conditions and debt agreement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operates in cyclical markets, but our diverse portfolio—spanning various products, customers, and regions—has enabled us to navigate these cycles effectively while maintaining liquidity. Historically, we have consistently generated operating cash flows that exceed our capital expenditures, demonstrating our ability to manage cash effectively through economic cycles. For fiscal 2026 and beyond, we are confident in our liquidity position, supported by accessible credit facilities, capital markets, and a solid track record of positive operating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28, 2026, we held $160.2 million in cash, including $132.3 million in non-U.S. subsidiaries. Distributions of this foreign cash would incur tax liabilities. As of March 28, 2026, we had liabilities of $2.5 million for foreign withholding taxes and $0.2 million for U.S. state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fiscal 2026 capital expenditures to range from $170.0 million to $200.0 million.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summarizes our cash flow information for the thirteen weeks ended March 28, 2026 and March 29, 2025:</w:t>
      </w:r>
    </w:p>
    <w:tbl>
      <w:tblPr>
        <w:tblW w:w="5512" w:type="dxa"/>
        <w:jc w:val="left"/>
        <w:tblInd w:w="0" w:type="dxa"/>
        <w:tblLayout w:type="fixed"/>
        <w:tblCellMar>
          <w:top w:w="0" w:type="dxa"/>
          <w:left w:w="0" w:type="dxa"/>
          <w:bottom w:w="0" w:type="dxa"/>
          <w:right w:w="0" w:type="dxa"/>
        </w:tblCellMar>
      </w:tblPr>
      <w:tblGrid>
        <w:gridCol w:w="2941"/>
        <w:gridCol w:w="346"/>
        <w:gridCol w:w="196"/>
        <w:gridCol w:w="721"/>
        <w:gridCol w:w="346"/>
        <w:gridCol w:w="196"/>
        <w:gridCol w:w="766"/>
      </w:tblGrid>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left"/>
              <w:rPr/>
            </w:pPr>
            <w:r>
              <w:rPr/>
              <w:t>​</w:t>
            </w:r>
          </w:p>
        </w:tc>
        <w:tc>
          <w:tcPr>
            <w:tcW w:w="96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(30,191)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(16,993)</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i/>
          <w:sz w:val="20"/>
        </w:rPr>
        <w:t xml:space="preserve">Operating Cash Flows and Working Capital </w:t>
      </w:r>
      <w:r>
        <w:rPr>
          <w:rFonts w:ascii="Times New Roman;Times;serif" w:hAnsi="Times New Roman;Times;serif"/>
          <w:sz w:val="20"/>
        </w:rPr>
        <w:t xml:space="preserve">– Cash provided by operating activities totaled $103.5 million in the first quarter of fiscal 2026, as compared to $65.1 million in the same period of fiscal 2025. The change in operating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flows reflects higher operating income in addition to a lower incentive compensation bonus payout in fiscal 2026 relative to fiscal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Investing Cash Flows </w:t>
      </w:r>
      <w:r>
        <w:rPr>
          <w:rFonts w:ascii="Times New Roman;Times;serif" w:hAnsi="Times New Roman;Times;serif"/>
          <w:sz w:val="20"/>
        </w:rPr>
        <w:t>– Cash used in investing activities totaled $43.3 million in the first quarter of fiscal 2026, as compared to $30.2 million in the same period of fiscal 2025. Investing activities in the first quarter of fiscal 2026 primarily included capital spending of $34.6 million and the acquisition of RMDS Innovations, Inc., net of cash acquired, of $11.2 million. Investing activities in the first quarter of fiscal 2025 primarily included capital spending of $30.3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Financing Cash Flows </w:t>
      </w:r>
      <w:r>
        <w:rPr>
          <w:rFonts w:ascii="Times New Roman;Times;serif" w:hAnsi="Times New Roman;Times;serif"/>
          <w:sz w:val="20"/>
        </w:rPr>
        <w:t>– Cash used in financing activities totaled $87.2 million in the first quarter of fiscal 2026, as compared to $17.0 million in the same period of fiscal 2025. Our total interest-bearing debt was $815.0 million as of March 28, 2026 and $829.5 million as of December 27, 2025. Financing activities in the first quarter of fiscal 2026 primarily consisted of borrowings on the revolving credit facility of $50.0 million offset by payments of $55.6 million, dividends paid of $13.3 million, stock repurchases of $57.6 million, the purchase of a redeemable noncontrolling interest of $8.9 million, and the net activity from stock option and incentive plans, including the associated withholding payments, of $1.9 million. Financing activities in the first quarter of fiscal 2025 primarily consisted of borrowings on the revolving credit facility and short-term notes of $62.8 million, offset by principal payments on our long-term debt and short-term borrowings of $64.6 million, dividends paid of $12.0 million, and the net activity from stock option and incentive plans, including the associated withholding payments, of $3.5 million.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Guarantor Summarized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information is provided in compliance with Rule 3-10 and Rule 13-01 of Regulation S-X, relating to our two tranches of senior unsecured notes. These senior notes are jointly, severally, fully, and unconditionally guaranteed—subject to certain customary release provisions, including the sale of the subsidiary guarantor or of all or substantially all of its assets—by certain of our current and future direct and indirect domestic and foreign subsidiaries (collectively, the “Guarantors”). The Parent serves as the Issuer of the notes and consolidates all Guarantors.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information for the Issuer and Guarantors is presented on a combined basis, with intercompany balances and transactions between the Issuer and the Guarantors eliminated. Any amounts due to or from the Issuer or Guarantors, as well as transactions with non-guarantor subsidiaries, are disclosed separately.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for the thirteen weeks ended March 28, 2026 and March 29, 2025 was as follows:</w:t>
      </w:r>
    </w:p>
    <w:tbl>
      <w:tblPr>
        <w:tblW w:w="6070" w:type="dxa"/>
        <w:jc w:val="left"/>
        <w:tblInd w:w="0" w:type="dxa"/>
        <w:tblLayout w:type="fixed"/>
        <w:tblCellMar>
          <w:top w:w="0" w:type="dxa"/>
          <w:left w:w="0" w:type="dxa"/>
          <w:bottom w:w="0" w:type="dxa"/>
          <w:right w:w="0" w:type="dxa"/>
        </w:tblCellMar>
      </w:tblPr>
      <w:tblGrid>
        <w:gridCol w:w="3796"/>
        <w:gridCol w:w="346"/>
        <w:gridCol w:w="196"/>
        <w:gridCol w:w="691"/>
        <w:gridCol w:w="109"/>
        <w:gridCol w:w="196"/>
        <w:gridCol w:w="736"/>
      </w:tblGrid>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109"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29,</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778,496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676,691</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228,408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199,145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92,995</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81,355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59,986</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as of March 28, 2026 and December 27, 2025 was as follows:</w:t>
      </w:r>
    </w:p>
    <w:tbl>
      <w:tblPr>
        <w:tblW w:w="4565" w:type="dxa"/>
        <w:jc w:val="left"/>
        <w:tblInd w:w="0" w:type="dxa"/>
        <w:tblLayout w:type="fixed"/>
        <w:tblCellMar>
          <w:top w:w="0" w:type="dxa"/>
          <w:left w:w="0" w:type="dxa"/>
          <w:bottom w:w="0" w:type="dxa"/>
          <w:right w:w="0" w:type="dxa"/>
        </w:tblCellMar>
      </w:tblPr>
      <w:tblGrid>
        <w:gridCol w:w="1666"/>
        <w:gridCol w:w="346"/>
        <w:gridCol w:w="196"/>
        <w:gridCol w:w="826"/>
        <w:gridCol w:w="346"/>
        <w:gridCol w:w="206"/>
        <w:gridCol w:w="979"/>
      </w:tblGrid>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955,648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901,456</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841,541</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851,743</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402,917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415,155</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1,279,858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1,241,800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March 28, 2026 and December 27, 2025, non-current assets included a receivable from non-guarantor subsidiaries of $77,603 and $83,641, respectively. As of March 28, 2026 and December 27, 2025, non-current liabilities included a payable to non-guarantor subsidiaries of $368,414 and $325,225, respectively.</w:t>
      </w:r>
    </w:p>
    <w:p>
      <w:pPr>
        <w:pStyle w:val="TextBody"/>
        <w:bidi w:val="0"/>
        <w:spacing w:before="0" w:after="240"/>
        <w:ind w:left="720" w:right="0" w:hanging="0"/>
        <w:jc w:val="left"/>
        <w:rPr>
          <w:rFonts w:ascii="Times New Roman;Times;serif" w:hAnsi="Times New Roman;Times;serif"/>
          <w:b/>
          <w:i/>
          <w:sz w:val="20"/>
        </w:rPr>
      </w:pPr>
      <w:bookmarkStart w:id="1153" w:name="_Selected_Financial_Measures"/>
      <w:bookmarkEnd w:id="1153"/>
      <w:r>
        <w:rPr>
          <w:rFonts w:ascii="Times New Roman;Times;serif" w:hAnsi="Times New Roman;Times;serif"/>
          <w:b/>
          <w:i/>
          <w:sz w:val="20"/>
        </w:rPr>
        <w:t>Selected Financial Measures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leverage ratio is a key financial metric we use to assess our maximum borrowing capacity. It is defined as the ratio of (a) interest-bearing debt, minus unrestricted cash in excess of $50.0 million (but not exceeding $500.0 million), to (b)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EBITDA. In the event of an acquisition or divestiture, Adjusted EBITDA is calculated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requires us to maintain a leverage ratio of 3.50 or lower (or 3.75 or lower following certain material acquisitions) on a rolling four-fiscal-quarter basis, measured as of the last day of each fiscal quarter. Failure to comply with this financial covenant may result in higher financing costs or early debt repayment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leverage ratio and Adjusted EBITDA are non-generally accepted accounting principles (“GAAP”) measures. As presented, these measures may not be directly comparable to similarly titled measures used by other companies. They should not be considered in isolation or as a substitute for net earnings, cash flows from operations, or other income or cash flow data prepared in accordance with GAAP. Additionally, they should not be interpreted as indicators of operating performance or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Adjusted EBITDA for the four fiscal quarters ended March 28, 2026 was as follows:</w:t>
      </w:r>
    </w:p>
    <w:tbl>
      <w:tblPr>
        <w:tblW w:w="5762" w:type="dxa"/>
        <w:jc w:val="left"/>
        <w:tblInd w:w="0" w:type="dxa"/>
        <w:tblLayout w:type="fixed"/>
        <w:tblCellMar>
          <w:top w:w="0" w:type="dxa"/>
          <w:left w:w="0" w:type="dxa"/>
          <w:bottom w:w="0" w:type="dxa"/>
          <w:right w:w="0" w:type="dxa"/>
        </w:tblCellMar>
      </w:tblPr>
      <w:tblGrid>
        <w:gridCol w:w="3241"/>
        <w:gridCol w:w="346"/>
        <w:gridCol w:w="429"/>
        <w:gridCol w:w="1746"/>
      </w:tblGrid>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494,827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39,838</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30,180</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(1,873)</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2,553</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70,920</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Non-recurring non-cash charges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346" w:type="dxa"/>
            <w:tcBorders/>
            <w:vAlign w:val="center"/>
          </w:tcPr>
          <w:p>
            <w:pPr>
              <w:pStyle w:val="TableContents"/>
              <w:bidi w:val="0"/>
              <w:spacing w:before="0" w:after="1"/>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671,035</w:t>
            </w:r>
          </w:p>
        </w:tc>
      </w:tr>
    </w:tbl>
    <w:p>
      <w:pPr>
        <w:pStyle w:val="TextBody"/>
        <w:bidi w:val="0"/>
        <w:spacing w:before="0" w:after="240"/>
        <w:ind w:left="0" w:right="0" w:hanging="0"/>
        <w:jc w:val="left"/>
        <w:rPr>
          <w:shd w:fill="FFFF00" w:val="clear"/>
        </w:rPr>
      </w:pPr>
      <w:r>
        <w:rPr>
          <w:shd w:fill="FFFF00" w:val="clear"/>
        </w:rPr>
        <w:t>​</w:t>
      </w:r>
    </w:p>
    <w:tbl>
      <w:tblPr>
        <w:tblW w:w="6080" w:type="dxa"/>
        <w:jc w:val="left"/>
        <w:tblInd w:w="0" w:type="dxa"/>
        <w:tblLayout w:type="fixed"/>
        <w:tblCellMar>
          <w:top w:w="0" w:type="dxa"/>
          <w:left w:w="0" w:type="dxa"/>
          <w:bottom w:w="0" w:type="dxa"/>
          <w:right w:w="0" w:type="dxa"/>
        </w:tblCellMar>
      </w:tblPr>
      <w:tblGrid>
        <w:gridCol w:w="3796"/>
        <w:gridCol w:w="109"/>
        <w:gridCol w:w="429"/>
        <w:gridCol w:w="1746"/>
      </w:tblGrid>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371,045</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39,838</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30,180</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89,598</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22,629</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Non-recurring non-cash charges</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3,918</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6,424</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vAlign w:val="center"/>
          </w:tcPr>
          <w:p>
            <w:pPr>
              <w:pStyle w:val="TableContents"/>
              <w:bidi w:val="0"/>
              <w:spacing w:before="0" w:after="1"/>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671,035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calculation of the leverage ratio as of March 28, 2026 was as follows:</w:t>
      </w:r>
    </w:p>
    <w:tbl>
      <w:tblPr>
        <w:tblW w:w="6619" w:type="dxa"/>
        <w:jc w:val="left"/>
        <w:tblInd w:w="0" w:type="dxa"/>
        <w:tblLayout w:type="fixed"/>
        <w:tblCellMar>
          <w:top w:w="0" w:type="dxa"/>
          <w:left w:w="0" w:type="dxa"/>
          <w:bottom w:w="0" w:type="dxa"/>
          <w:right w:w="0" w:type="dxa"/>
        </w:tblCellMar>
      </w:tblPr>
      <w:tblGrid>
        <w:gridCol w:w="5341"/>
        <w:gridCol w:w="346"/>
        <w:gridCol w:w="196"/>
        <w:gridCol w:w="736"/>
      </w:tblGrid>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3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28,</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debt, excluding origination fees and discounts of $24,708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815,000</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Cash and cash equivalents in excess of $50,000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110,189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indebtedness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704,811</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671,035</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Leverage ratio</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OBLIGATIONS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financial obligations and commitments during the thirteen weeks ended March 28, 2026. For additional information on the Company’s financial obligations and commitments, refer to the “Cash Uses” section in Part II, Item 7 of the Company’s Annual Report on Form 10-K for the fiscal year ended December 27, 2025.</w:t>
      </w:r>
    </w:p>
    <w:p>
      <w:pPr>
        <w:pStyle w:val="TextBody"/>
        <w:bidi w:val="0"/>
        <w:spacing w:before="0" w:after="240"/>
        <w:ind w:left="0" w:right="0" w:hanging="0"/>
        <w:jc w:val="left"/>
        <w:rPr>
          <w:rFonts w:ascii="Times New Roman;Times;serif" w:hAnsi="Times New Roman;Times;serif"/>
          <w:b/>
          <w:sz w:val="20"/>
        </w:rPr>
      </w:pPr>
      <w:bookmarkStart w:id="1154" w:name="ITEM3QUANTITATIVEANDQUALITATIVEDISCLOSUR"/>
      <w:bookmarkStart w:id="1155" w:name="_e9cb2a96_feb3_43cc_98ef_f4b28fea3c45"/>
      <w:bookmarkStart w:id="1156" w:name="_Item_3._"/>
      <w:bookmarkEnd w:id="1154"/>
      <w:bookmarkEnd w:id="1155"/>
      <w:bookmarkEnd w:id="1156"/>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market risk during the thirteen weeks ended March 28, 2026. For additional information on the Company’s market risk, refer to Part II, Item 7A of the Company’s Annual Report on Form 10-K for the fiscal year ended December 27, 2025.</w:t>
      </w:r>
    </w:p>
    <w:p>
      <w:pPr>
        <w:pStyle w:val="TextBody"/>
        <w:bidi w:val="0"/>
        <w:spacing w:before="0" w:after="240"/>
        <w:ind w:left="0" w:right="0" w:hanging="0"/>
        <w:jc w:val="left"/>
        <w:rPr>
          <w:rFonts w:ascii="Times New Roman;Times;serif" w:hAnsi="Times New Roman;Times;serif"/>
          <w:b/>
          <w:sz w:val="20"/>
        </w:rPr>
      </w:pPr>
      <w:bookmarkStart w:id="1157" w:name="ITEM4CONTROLSANDPROCEDURES"/>
      <w:bookmarkStart w:id="1158" w:name="_bf1c7357_3464_4446_af74_ec12c71d648a"/>
      <w:bookmarkStart w:id="1159" w:name="_Item_4._"/>
      <w:bookmarkEnd w:id="1157"/>
      <w:bookmarkEnd w:id="1158"/>
      <w:bookmarkEnd w:id="1159"/>
      <w:r>
        <w:rPr>
          <w:rFonts w:ascii="Times New Roman;Times;serif" w:hAnsi="Times New Roman;Times;serif"/>
          <w:b/>
          <w:sz w:val="20"/>
        </w:rPr>
        <w:t>ITEM 4. CONTROLS AND PROCEDURES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under the supervision and with the participation of management—including the Chief Executive Officer (“CEO”) and Chief Financial Officer (“CFO”)—conducted an evaluation of the effectiveness of the design and operation of its disclosure controls and procedures, as defined in Rule 13a-15(e) under the Securities Exchange Act of 1934, as amended.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this evaluation, the CEO and CFO concluded that, as of the end of the period covered by this report, the Company’s disclosure controls and procedures are effective in providing reasonable assurance that the information required to be disclosed by the Company in its reports under the Securities Exchange Act of 1934 is (1) accumulated and communicated to management, including the CEO and CFO, to enable timely decisions regarding required disclosures and (2) recorded, processed, summarized, and reported within the periods specified by the Commission’s rules and forms.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during the fiscal quarter covered by this report that have materially affected, or are reasonably likely to affect materially, the Company’s internal control over financial reporting.</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60" w:name="PARTIIOTHERINFORMATION"/>
      <w:bookmarkStart w:id="1161" w:name="_1be36d54_7e43_4e87_b09d_d740963f4f35"/>
      <w:bookmarkEnd w:id="1160"/>
      <w:bookmarkEnd w:id="1161"/>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162" w:name="ITEM1LEGALPROCEEDINGS"/>
      <w:bookmarkEnd w:id="1162"/>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additional information on the Company’s legal proceedings, refer to Part I, Item 3 of the Company’s Annual Report on Form 10-K for the fiscal year ended December 27, 2025, and Note 13 to the Condensed Consolidated Financial Statements contained in this Quarterly Report on Form 10-Q.</w:t>
      </w:r>
    </w:p>
    <w:p>
      <w:pPr>
        <w:pStyle w:val="TextBody"/>
        <w:bidi w:val="0"/>
        <w:spacing w:before="0" w:after="240"/>
        <w:ind w:left="0" w:right="0" w:hanging="0"/>
        <w:jc w:val="left"/>
        <w:rPr>
          <w:rFonts w:ascii="Times New Roman;Times;serif" w:hAnsi="Times New Roman;Times;serif"/>
          <w:b/>
          <w:sz w:val="20"/>
        </w:rPr>
      </w:pPr>
      <w:bookmarkStart w:id="1163" w:name="ITEM1ARISKFACTORS"/>
      <w:bookmarkStart w:id="1164" w:name="_06b0691d_0786_4e2f_8efc_9e97973be1d1"/>
      <w:bookmarkEnd w:id="1163"/>
      <w:bookmarkEnd w:id="1164"/>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risk factors during the thirteen weeks ended March 28, 2026. For additional information on the Company’s risk factors, refer to Part I, Item 1A of the Company’s Annual Report on Form 10</w:t>
        <w:noBreakHyphen/>
        <w:t>K for the fiscal year ended December 27, 2025.</w:t>
      </w:r>
    </w:p>
    <w:p>
      <w:pPr>
        <w:pStyle w:val="TextBody"/>
        <w:bidi w:val="0"/>
        <w:spacing w:before="0" w:after="240"/>
        <w:ind w:left="0" w:right="0" w:hanging="0"/>
        <w:jc w:val="left"/>
        <w:rPr>
          <w:rFonts w:ascii="Times New Roman;Times;serif" w:hAnsi="Times New Roman;Times;serif"/>
          <w:b/>
          <w:sz w:val="20"/>
        </w:rPr>
      </w:pPr>
      <w:bookmarkStart w:id="1165" w:name="ITEM2UNREGISTEREDSALESOFEQUITYSECURITIES"/>
      <w:bookmarkStart w:id="1166" w:name="_21eb8f9e_f399_4994_9d34_0a1e07165f23"/>
      <w:bookmarkStart w:id="1167" w:name="_Item_2._Unregistered"/>
      <w:bookmarkEnd w:id="1165"/>
      <w:bookmarkEnd w:id="1166"/>
      <w:bookmarkEnd w:id="1167"/>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tbl>
      <w:tblPr>
        <w:tblW w:w="9727" w:type="dxa"/>
        <w:jc w:val="left"/>
        <w:tblInd w:w="0" w:type="dxa"/>
        <w:tblLayout w:type="fixed"/>
        <w:tblCellMar>
          <w:top w:w="0" w:type="dxa"/>
          <w:left w:w="0" w:type="dxa"/>
          <w:bottom w:w="0" w:type="dxa"/>
          <w:right w:w="0" w:type="dxa"/>
        </w:tblCellMar>
      </w:tblPr>
      <w:tblGrid>
        <w:gridCol w:w="2971"/>
        <w:gridCol w:w="346"/>
        <w:gridCol w:w="1171"/>
        <w:gridCol w:w="346"/>
        <w:gridCol w:w="214"/>
        <w:gridCol w:w="656"/>
        <w:gridCol w:w="346"/>
        <w:gridCol w:w="1501"/>
        <w:gridCol w:w="346"/>
        <w:gridCol w:w="273"/>
        <w:gridCol w:w="1557"/>
      </w:tblGrid>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Approximate dollar</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 purchased</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 of shares that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part of publicly</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may yet be purchased</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paid</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announced plans</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under the plans</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 share</w:t>
            </w:r>
          </w:p>
        </w:tc>
        <w:tc>
          <w:tcPr>
            <w:tcW w:w="346"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w:t>
            </w:r>
          </w:p>
        </w:tc>
        <w:tc>
          <w:tcPr>
            <w:tcW w:w="346" w:type="dxa"/>
            <w:tcBorders/>
            <w:vAlign w:val="center"/>
          </w:tcPr>
          <w:p>
            <w:pPr>
              <w:pStyle w:val="TableContents"/>
              <w:bidi w:val="0"/>
              <w:spacing w:before="0" w:after="1"/>
              <w:ind w:left="0" w:right="0" w:hanging="0"/>
              <w:jc w:val="left"/>
              <w:rPr/>
            </w:pPr>
            <w:r>
              <w:rPr/>
              <w:t>  ​ ​ ​</w:t>
            </w:r>
          </w:p>
        </w:tc>
        <w:tc>
          <w:tcPr>
            <w:tcW w:w="18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 (1)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28, 2025 to January 24, 2026</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44,361</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425.36</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44,361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548,234,000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January 25, 2026 to February 28, 2026</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454.82</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530,589,000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1, 2026 to March 28, 2026</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48,041</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417.08</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48,041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510,551,000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131,197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431.04</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131,197</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510,551,000</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March 28, 2026, we had approximately $510.6 million of remaining capacity under the share repurchase program. Since the program’s inception in May 2014, we have repurchased approximately 9.0 million shares for a total of $1.6 billion.</w:t>
            </w:r>
          </w:p>
        </w:tc>
      </w:tr>
    </w:tbl>
    <w:p>
      <w:pPr>
        <w:pStyle w:val="TextBody"/>
        <w:bidi w:val="0"/>
        <w:spacing w:before="0" w:after="240"/>
        <w:ind w:left="0" w:right="0" w:hanging="0"/>
        <w:jc w:val="left"/>
        <w:rPr>
          <w:rFonts w:ascii="Times New Roman;Times;serif" w:hAnsi="Times New Roman;Times;serif"/>
          <w:b/>
          <w:sz w:val="20"/>
        </w:rPr>
      </w:pPr>
      <w:bookmarkStart w:id="1168" w:name="ITEM3DEFAULTSUPONSENIORSECURITIES"/>
      <w:bookmarkStart w:id="1169" w:name="_9cf8bf32_68c9_4fb5_839c_37ccc2949329"/>
      <w:bookmarkEnd w:id="1168"/>
      <w:bookmarkEnd w:id="1169"/>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70" w:name="ITEM4MINESAFETYDISCLOSURES"/>
      <w:bookmarkStart w:id="1171" w:name="_afc1ca04_2a5a_4b9f_a980_e998109455cd"/>
      <w:bookmarkEnd w:id="1170"/>
      <w:bookmarkEnd w:id="1171"/>
      <w:r>
        <w:rPr>
          <w:rFonts w:ascii="Times New Roman;Times;serif" w:hAnsi="Times New Roman;Times;serif"/>
          <w:b/>
          <w:sz w:val="20"/>
        </w:rPr>
        <w:t>ITEM 4. MINE SAFETY DISCLOSURES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2" w:name="ITEM5OTHERINFORMATION"/>
      <w:bookmarkStart w:id="1173" w:name="_0298705e_a5d2_48ac_a6cf_fd1988d501a6"/>
      <w:bookmarkEnd w:id="1172"/>
      <w:bookmarkEnd w:id="1173"/>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Submission of Matters to a Vote of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Valmont’s annual meeting of stockholders was held on April 27, 2026. The stockholders elected four directors to serve three-year terms, approved the Valmont 2026 Employee Stock Purchase Plan, approved, on an advisory basis, the compensation paid to Valmont’s named executive officers, and ratified the appointment of KPMG LLP as independent auditors for fiscal 2026. For the annual meeting, there were 19,547,213 shares outstanding and eligible to vote of which 17,796,049 were present at the meeting in person or by proxy. The tabulation for each matter voted upon at the meeting was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Election of directors:</w:t>
      </w:r>
    </w:p>
    <w:tbl>
      <w:tblPr>
        <w:tblW w:w="5101" w:type="dxa"/>
        <w:jc w:val="left"/>
        <w:tblInd w:w="0" w:type="dxa"/>
        <w:tblLayout w:type="fixed"/>
        <w:tblCellMar>
          <w:top w:w="0" w:type="dxa"/>
          <w:left w:w="0" w:type="dxa"/>
          <w:bottom w:w="0" w:type="dxa"/>
          <w:right w:w="0" w:type="dxa"/>
        </w:tblCellMar>
      </w:tblPr>
      <w:tblGrid>
        <w:gridCol w:w="1471"/>
        <w:gridCol w:w="109"/>
        <w:gridCol w:w="916"/>
        <w:gridCol w:w="109"/>
        <w:gridCol w:w="826"/>
        <w:gridCol w:w="109"/>
        <w:gridCol w:w="156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34085" cy="175260"/>
                      <wp:effectExtent l="0" t="0" r="0" b="0"/>
                      <wp:wrapNone/>
                      <wp:docPr id="22" name="Frame2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w:t>
            </w:r>
          </w:p>
        </w:tc>
        <w:tc>
          <w:tcPr>
            <w:tcW w:w="109"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Withheld</w:t>
            </w:r>
          </w:p>
        </w:tc>
        <w:tc>
          <w:tcPr>
            <w:tcW w:w="109" w:type="dxa"/>
            <w:tcBorders/>
            <w:vAlign w:val="center"/>
          </w:tcPr>
          <w:p>
            <w:pPr>
              <w:pStyle w:val="TableContents"/>
              <w:bidi w:val="0"/>
              <w:spacing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Broker Non-Votes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Mogens C. Bay</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14,808,848</w:t>
            </w:r>
          </w:p>
        </w:tc>
        <w:tc>
          <w:tcPr>
            <w:tcW w:w="109"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1,946,774</w:t>
            </w:r>
          </w:p>
        </w:tc>
        <w:tc>
          <w:tcPr>
            <w:tcW w:w="109" w:type="dxa"/>
            <w:tcBorders/>
            <w:shd w:fill="CCEEFF" w:val="clear"/>
            <w:vAlign w:val="center"/>
          </w:tcPr>
          <w:p>
            <w:pPr>
              <w:pStyle w:val="TableContents"/>
              <w:bidi w:val="0"/>
              <w:spacing w:before="0" w:after="0"/>
              <w:ind w:left="0" w:right="0" w:hanging="0"/>
              <w:jc w:val="righ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1,040,427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Ritu Favre</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15,243,183</w:t>
            </w:r>
          </w:p>
        </w:tc>
        <w:tc>
          <w:tcPr>
            <w:tcW w:w="109"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1,512,439</w:t>
            </w:r>
          </w:p>
        </w:tc>
        <w:tc>
          <w:tcPr>
            <w:tcW w:w="109"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1,040,427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Richard A. Lanoha</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16,467,838</w:t>
            </w:r>
          </w:p>
        </w:tc>
        <w:tc>
          <w:tcPr>
            <w:tcW w:w="109"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287,784</w:t>
            </w:r>
          </w:p>
        </w:tc>
        <w:tc>
          <w:tcPr>
            <w:tcW w:w="109" w:type="dxa"/>
            <w:tcBorders/>
            <w:shd w:fill="CCEEFF" w:val="clear"/>
            <w:vAlign w:val="center"/>
          </w:tcPr>
          <w:p>
            <w:pPr>
              <w:pStyle w:val="TableContents"/>
              <w:bidi w:val="0"/>
              <w:spacing w:before="0" w:after="0"/>
              <w:ind w:left="0" w:right="0" w:hanging="0"/>
              <w:jc w:val="righ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1,040,427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Paul T. Maass</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16,698,826</w:t>
            </w:r>
          </w:p>
        </w:tc>
        <w:tc>
          <w:tcPr>
            <w:tcW w:w="109"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56,796</w:t>
            </w:r>
          </w:p>
        </w:tc>
        <w:tc>
          <w:tcPr>
            <w:tcW w:w="109"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1,040,427</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Approval of the Valmont 2026 Employee Stock Purchase Plan:</w:t>
      </w:r>
    </w:p>
    <w:tbl>
      <w:tblPr>
        <w:tblW w:w="2872" w:type="dxa"/>
        <w:jc w:val="left"/>
        <w:tblInd w:w="0" w:type="dxa"/>
        <w:tblLayout w:type="fixed"/>
        <w:tblCellMar>
          <w:top w:w="0" w:type="dxa"/>
          <w:left w:w="0" w:type="dxa"/>
          <w:bottom w:w="0" w:type="dxa"/>
          <w:right w:w="0" w:type="dxa"/>
        </w:tblCellMar>
      </w:tblPr>
      <w:tblGrid>
        <w:gridCol w:w="1366"/>
        <w:gridCol w:w="109"/>
        <w:gridCol w:w="109"/>
        <w:gridCol w:w="109"/>
        <w:gridCol w:w="109"/>
        <w:gridCol w:w="109"/>
        <w:gridCol w:w="961"/>
      </w:tblGrid>
      <w:tr>
        <w:trPr/>
        <w:tc>
          <w:tcPr>
            <w:tcW w:w="1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16,705,270</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Against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44,130</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Abstain</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6,222</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Broker non-votes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1,040,427</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Advisory vote on executive compensation:</w:t>
      </w:r>
    </w:p>
    <w:tbl>
      <w:tblPr>
        <w:tblW w:w="2872" w:type="dxa"/>
        <w:jc w:val="left"/>
        <w:tblInd w:w="0" w:type="dxa"/>
        <w:tblLayout w:type="fixed"/>
        <w:tblCellMar>
          <w:top w:w="0" w:type="dxa"/>
          <w:left w:w="0" w:type="dxa"/>
          <w:bottom w:w="0" w:type="dxa"/>
          <w:right w:w="0" w:type="dxa"/>
        </w:tblCellMar>
      </w:tblPr>
      <w:tblGrid>
        <w:gridCol w:w="1366"/>
        <w:gridCol w:w="109"/>
        <w:gridCol w:w="109"/>
        <w:gridCol w:w="109"/>
        <w:gridCol w:w="109"/>
        <w:gridCol w:w="109"/>
        <w:gridCol w:w="961"/>
      </w:tblGrid>
      <w:tr>
        <w:trPr/>
        <w:tc>
          <w:tcPr>
            <w:tcW w:w="1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15,956,464</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Against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783,472</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Abstain</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15,686</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Broker non-votes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1,040,427</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Ratification of appointment of independent auditors:</w:t>
      </w:r>
    </w:p>
    <w:tbl>
      <w:tblPr>
        <w:tblW w:w="2872" w:type="dxa"/>
        <w:jc w:val="left"/>
        <w:tblInd w:w="0" w:type="dxa"/>
        <w:tblLayout w:type="fixed"/>
        <w:tblCellMar>
          <w:top w:w="0" w:type="dxa"/>
          <w:left w:w="0" w:type="dxa"/>
          <w:bottom w:w="0" w:type="dxa"/>
          <w:right w:w="0" w:type="dxa"/>
        </w:tblCellMar>
      </w:tblPr>
      <w:tblGrid>
        <w:gridCol w:w="1366"/>
        <w:gridCol w:w="109"/>
        <w:gridCol w:w="109"/>
        <w:gridCol w:w="109"/>
        <w:gridCol w:w="109"/>
        <w:gridCol w:w="109"/>
        <w:gridCol w:w="961"/>
      </w:tblGrid>
      <w:tr>
        <w:trPr/>
        <w:tc>
          <w:tcPr>
            <w:tcW w:w="1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17,656,277</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Against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124,329</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Abstain</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15,443</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Broker non-votes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4" w:name="ITEM6EXHIBITS"/>
      <w:bookmarkStart w:id="1175" w:name="_84abea99_aa7e_416f_9b49_1a42b5e29081"/>
      <w:bookmarkStart w:id="1176" w:name="_Item_6._Exhibits"/>
      <w:bookmarkEnd w:id="1174"/>
      <w:bookmarkEnd w:id="1175"/>
      <w:bookmarkEnd w:id="1176"/>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00"/>
        <w:gridCol w:w="346"/>
        <w:gridCol w:w="9059"/>
      </w:tblGrid>
      <w:tr>
        <w:trPr/>
        <w:tc>
          <w:tcPr>
            <w:tcW w:w="8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05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List of Issuer and Guarantor Subsidiaries. This document was filed as Exhibit 22.1 to the Company’s Quarterly Report on Form 10-Q (Commission file number 001-31429) for the fiscal quarter ended September 25, 2021 and is incorporated herein by reference.</w:t>
              </w:r>
            </w:hyperlink>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328xex31d1.htm">
              <w:r>
                <w:rPr>
                  <w:rStyle w:val="InternetLink"/>
                  <w:rFonts w:ascii="Times New Roman;Times;serif" w:hAnsi="Times New Roman;Times;serif"/>
                  <w:b w:val="false"/>
                  <w:i w:val="false"/>
                  <w:caps w:val="false"/>
                  <w:smallCaps w:val="false"/>
                  <w:sz w:val="20"/>
                </w:rPr>
                <w:t>Section 302 Certification of the Chief Executive Officer</w:t>
              </w:r>
            </w:hyperlink>
            <w:r>
              <w:rPr>
                <w:rFonts w:ascii="Times New Roman;Times;serif" w:hAnsi="Times New Roman;Times;serif"/>
                <w:sz w:val="20"/>
              </w:rPr>
              <w:t>.</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328xex31d2.htm">
              <w:r>
                <w:rPr>
                  <w:rStyle w:val="InternetLink"/>
                  <w:rFonts w:ascii="Times New Roman;Times;serif" w:hAnsi="Times New Roman;Times;serif"/>
                  <w:b w:val="false"/>
                  <w:i w:val="false"/>
                  <w:caps w:val="false"/>
                  <w:smallCaps w:val="false"/>
                  <w:sz w:val="20"/>
                </w:rPr>
                <w:t>Section 302 Certification of the Chief Financial Officer</w:t>
              </w:r>
            </w:hyperlink>
            <w:r>
              <w:rPr>
                <w:rFonts w:ascii="Times New Roman;Times;serif" w:hAnsi="Times New Roman;Times;serif"/>
                <w:sz w:val="20"/>
              </w:rPr>
              <w:t>.</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328xex32d1.htm">
              <w:r>
                <w:rPr>
                  <w:rStyle w:val="InternetLink"/>
                  <w:rFonts w:ascii="Times New Roman;Times;serif" w:hAnsi="Times New Roman;Times;serif"/>
                  <w:b w:val="false"/>
                  <w:i w:val="false"/>
                  <w:caps w:val="false"/>
                  <w:smallCaps w:val="false"/>
                  <w:sz w:val="20"/>
                </w:rPr>
                <w:t>Section 906 Certifications.</w:t>
              </w:r>
            </w:hyperlink>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Valmont’s Quarterly Report on Form 10-Q for the quarter ended March 28, 2026, formatted in Inline XBRL (eXtensible Business Reporting Language): (i) the Condensed Consolidated Statements of Earnings, (ii) the Condensed Consolidated Statements of Comprehensive Income, (iii) the Condensed Consolidated Balance Sheets, (iv) the Condensed Consolidated Statements of Cash Flows, (v) the Condensed Consolidated Statements of Shareholders’ Equity and Redeemable Noncontrolling Interests, (vi) Notes to Condensed Consolidated Financial Statements and (vii) document and entity information.</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(formatted as Inline XBRL and contained in Exhibit 101)</w:t>
            </w:r>
          </w:p>
        </w:tc>
      </w:tr>
    </w:tbl>
    <w:p>
      <w:pPr>
        <w:pStyle w:val="TextBody"/>
        <w:pBdr/>
        <w:bidi w:val="0"/>
        <w:spacing w:before="240" w:after="24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77" w:name="SIGNATURES"/>
      <w:bookmarkStart w:id="1178" w:name="_84d1772b_8ce7_46d1_a61a_d0e8e4d1df4e"/>
      <w:bookmarkEnd w:id="1177"/>
      <w:bookmarkEnd w:id="1178"/>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and by the undersigned thereunto duly authorized.</w:t>
      </w:r>
    </w:p>
    <w:tbl>
      <w:tblPr>
        <w:tblW w:w="4625" w:type="dxa"/>
        <w:jc w:val="left"/>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VALMONT INDUSTRIES, INC.</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SCHWIETZ</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Dated the 28th day of April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right"/>
        <w:rPr>
          <w:rFonts w:ascii="Times New Roman;Times;serif" w:hAnsi="Times New Roman;Times;serif"/>
          <w:b/>
          <w:sz w:val="20"/>
        </w:rPr>
      </w:pPr>
      <w:bookmarkStart w:id="1179" w:name="vmi-20260328xex31d1.htm"/>
      <w:bookmarkStart w:id="1180" w:name="ksvmi20260328xex31d1"/>
      <w:bookmarkEnd w:id="1179"/>
      <w:bookmarkEnd w:id="118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Avner M. Applbaum, certify that:</w:t>
      </w:r>
    </w:p>
    <w:tbl>
      <w:tblPr>
        <w:tblW w:w="9595" w:type="dxa"/>
        <w:jc w:val="left"/>
        <w:tblInd w:w="0" w:type="dxa"/>
        <w:tblLayout w:type="fixed"/>
        <w:tblCellMar>
          <w:top w:w="0" w:type="dxa"/>
          <w:left w:w="0" w:type="dxa"/>
          <w:bottom w:w="0" w:type="dxa"/>
          <w:right w:w="0" w:type="dxa"/>
        </w:tblCellMar>
      </w:tblPr>
      <w:tblGrid>
        <w:gridCol w:w="170"/>
        <w:gridCol w:w="942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for the quarter ended March 28, 2026 of Valmont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365" w:type="dxa"/>
        <w:jc w:val="center"/>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740" cy="175260"/>
                      <wp:effectExtent l="0" t="0" r="0" b="0"/>
                      <wp:wrapNone/>
                      <wp:docPr id="39" name="Frame3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58035" cy="175260"/>
                      <wp:effectExtent l="0" t="0" r="0" b="0"/>
                      <wp:wrapNone/>
                      <wp:docPr id="40" name="Frame4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07"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c>
      </w:tr>
      <w:tr>
        <w:trPr/>
        <w:tc>
          <w:tcPr>
            <w:tcW w:w="124" w:type="dxa"/>
            <w:tcBorders/>
            <w:vAlign w:val="center"/>
          </w:tcPr>
          <w:p>
            <w:pPr>
              <w:pStyle w:val="TableContents"/>
              <w:bidi w:val="0"/>
              <w:spacing w:lineRule="auto" w:line="307"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i/>
                <w:sz w:val="20"/>
              </w:rPr>
              <w:t>Avner M. Applbaum</w:t>
            </w:r>
            <w:r>
              <w:rPr>
                <w:rFonts w:ascii="Times New Roman;Times;serif" w:hAnsi="Times New Roman;Times;serif"/>
                <w:sz w:val="20"/>
              </w:rPr>
              <w:br/>
            </w:r>
            <w:r>
              <w:rPr>
                <w:rFonts w:ascii="Times New Roman;Times;serif" w:hAnsi="Times New Roman;Times;serif"/>
                <w:i/>
                <w:sz w:val="20"/>
              </w:rPr>
              <w:t>President and Chief Executive Officer</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April 28,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81" w:name="vmi-20260328xex31d2.htm"/>
      <w:bookmarkStart w:id="1182" w:name="ksvmi20260328xex31d2"/>
      <w:bookmarkEnd w:id="1181"/>
      <w:bookmarkEnd w:id="118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John Schwietz, certify that:</w:t>
      </w:r>
    </w:p>
    <w:tbl>
      <w:tblPr>
        <w:tblW w:w="9595" w:type="dxa"/>
        <w:jc w:val="left"/>
        <w:tblInd w:w="0" w:type="dxa"/>
        <w:tblLayout w:type="fixed"/>
        <w:tblCellMar>
          <w:top w:w="0" w:type="dxa"/>
          <w:left w:w="0" w:type="dxa"/>
          <w:bottom w:w="0" w:type="dxa"/>
          <w:right w:w="0" w:type="dxa"/>
        </w:tblCellMar>
      </w:tblPr>
      <w:tblGrid>
        <w:gridCol w:w="170"/>
        <w:gridCol w:w="942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for the quarter ended March 28, 2026 of Valmont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740" cy="175260"/>
                      <wp:effectExtent l="0" t="0" r="0" b="0"/>
                      <wp:wrapNone/>
                      <wp:docPr id="41" name="Frame4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8425" cy="175260"/>
                      <wp:effectExtent l="0" t="0" r="0" b="0"/>
                      <wp:wrapNone/>
                      <wp:docPr id="42" name="Frame4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8740" cy="175260"/>
                      <wp:effectExtent l="0" t="0" r="0" b="0"/>
                      <wp:wrapNone/>
                      <wp:docPr id="43" name="Frame4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8425" cy="2053590"/>
                      <wp:effectExtent l="0" t="0" r="0" b="0"/>
                      <wp:wrapNone/>
                      <wp:docPr id="44" name="Frame44"/>
                      <a:graphic xmlns:a="http://schemas.openxmlformats.org/drawingml/2006/main">
                        <a:graphicData uri="http://schemas.microsoft.com/office/word/2010/wordprocessingShape">
                          <wps:wsp>
                            <wps:cNvSpPr txBox="1"/>
                            <wps:spPr>
                              <a:xfrm>
                                <a:off x="0" y="0"/>
                                <a:ext cx="98425" cy="205359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JOHN SCHWIETZ</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JOHN SCHWIETZ</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8740" cy="175260"/>
                      <wp:effectExtent l="0" t="0" r="0" b="0"/>
                      <wp:wrapNone/>
                      <wp:docPr id="45" name="Frame4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8425" cy="2842895"/>
                      <wp:effectExtent l="0" t="0" r="0" b="0"/>
                      <wp:wrapNone/>
                      <wp:docPr id="46" name="Frame46"/>
                      <a:graphic xmlns:a="http://schemas.openxmlformats.org/drawingml/2006/main">
                        <a:graphicData uri="http://schemas.microsoft.com/office/word/2010/wordprocessingShape">
                          <wps:wsp>
                            <wps:cNvSpPr txBox="1"/>
                            <wps:spPr>
                              <a:xfrm>
                                <a:off x="0" y="0"/>
                                <a:ext cx="98425" cy="28428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xbxContent>
                      </v:textbox>
                      <w10:wrap type="none"/>
                    </v:rect>
                  </w:pict>
                </mc:Fallback>
              </mc:AlternateConten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April 28,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83" w:name="vmi-20260328xex32d1.htm"/>
      <w:bookmarkStart w:id="1184" w:name="ksvmi20260328xex32d1"/>
      <w:bookmarkEnd w:id="1183"/>
      <w:bookmarkEnd w:id="1184"/>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Avner M. Applbaum, President and Chief Executive Officer of Valmont Industries, Inc. (the “Company”), has executed this certification in connection with the filing of the Company’s Quarterly Report on Form 10-Q for the quarter ended March 28, 2026 (the “Report”) with the Securities and Exchange Commission.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28th day of April 2026.</w:t>
      </w:r>
    </w:p>
    <w:p>
      <w:pPr>
        <w:pStyle w:val="TextBody"/>
        <w:bidi w:val="0"/>
        <w:spacing w:before="0" w:after="0"/>
        <w:ind w:left="0" w:right="0" w:firstLine="72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8740" cy="175260"/>
                      <wp:effectExtent l="0" t="0" r="0" b="0"/>
                      <wp:wrapNone/>
                      <wp:docPr id="47" name="Frame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175260"/>
                      <wp:effectExtent l="0" t="0" r="0" b="0"/>
                      <wp:wrapNone/>
                      <wp:docPr id="48" name="Frame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740" cy="175260"/>
                      <wp:effectExtent l="0" t="0" r="0" b="0"/>
                      <wp:wrapNone/>
                      <wp:docPr id="49" name="Frame4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2493645"/>
                      <wp:effectExtent l="0" t="0" r="0" b="0"/>
                      <wp:wrapNone/>
                      <wp:docPr id="50" name="Frame50"/>
                      <a:graphic xmlns:a="http://schemas.openxmlformats.org/drawingml/2006/main">
                        <a:graphicData uri="http://schemas.microsoft.com/office/word/2010/wordprocessingShape">
                          <wps:wsp>
                            <wps:cNvSpPr txBox="1"/>
                            <wps:spPr>
                              <a:xfrm>
                                <a:off x="0" y="0"/>
                                <a:ext cx="9779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75260"/>
                      <wp:effectExtent l="0" t="0" r="0" b="0"/>
                      <wp:wrapNone/>
                      <wp:docPr id="51" name="Frame5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7790" cy="6600825"/>
                      <wp:effectExtent l="0" t="0" r="0" b="0"/>
                      <wp:wrapNone/>
                      <wp:docPr id="52" name="Frame52"/>
                      <a:graphic xmlns:a="http://schemas.openxmlformats.org/drawingml/2006/main">
                        <a:graphicData uri="http://schemas.microsoft.com/office/word/2010/wordprocessingShape">
                          <wps:wsp>
                            <wps:cNvSpPr txBox="1"/>
                            <wps:spPr>
                              <a:xfrm>
                                <a:off x="0" y="0"/>
                                <a:ext cx="97790" cy="660082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1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v:textbox>
                      <w10:wrap type="none"/>
                    </v:rect>
                  </w:pict>
                </mc:Fallback>
              </mc:AlternateContent>
            </w:r>
          </w:p>
        </w:tc>
      </w:tr>
    </w:tbl>
    <w:p>
      <w:pPr>
        <w:pStyle w:val="TextBody"/>
        <w:bidi w:val="0"/>
        <w:spacing w:before="96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John Schwietz, Executive Vice President and Chief Financial Officer of Valmont Industries, Inc. (the “Company”), has executed this certification in connection with the filing of the Company’s Quarterly Report on Form 10-Q for the quarter ended March 28, 2026 (the “Report”) with the Securities and Exchange Commission.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28th day of April 2026.</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8740" cy="175260"/>
                      <wp:effectExtent l="0" t="0" r="0" b="0"/>
                      <wp:wrapNone/>
                      <wp:docPr id="53" name="Frame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8425" cy="175260"/>
                      <wp:effectExtent l="0" t="0" r="0" b="0"/>
                      <wp:wrapNone/>
                      <wp:docPr id="54" name="Frame5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8740" cy="175260"/>
                      <wp:effectExtent l="0" t="0" r="0" b="0"/>
                      <wp:wrapNone/>
                      <wp:docPr id="55" name="Frame5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8425" cy="2053590"/>
                      <wp:effectExtent l="0" t="0" r="0" b="0"/>
                      <wp:wrapNone/>
                      <wp:docPr id="56" name="Frame56"/>
                      <a:graphic xmlns:a="http://schemas.openxmlformats.org/drawingml/2006/main">
                        <a:graphicData uri="http://schemas.microsoft.com/office/word/2010/wordprocessingShape">
                          <wps:wsp>
                            <wps:cNvSpPr txBox="1"/>
                            <wps:spPr>
                              <a:xfrm>
                                <a:off x="0" y="0"/>
                                <a:ext cx="98425" cy="205359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JOHN SCHWIETZ</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JOHN SCHWIETZ</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8740" cy="175260"/>
                      <wp:effectExtent l="0" t="0" r="0" b="0"/>
                      <wp:wrapNone/>
                      <wp:docPr id="57" name="Frame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8425" cy="2709545"/>
                      <wp:effectExtent l="0" t="0" r="0" b="0"/>
                      <wp:wrapNone/>
                      <wp:docPr id="58" name="Frame58"/>
                      <a:graphic xmlns:a="http://schemas.openxmlformats.org/drawingml/2006/main">
                        <a:graphicData uri="http://schemas.microsoft.com/office/word/2010/wordprocessingShape">
                          <wps:wsp>
                            <wps:cNvSpPr txBox="1"/>
                            <wps:spPr>
                              <a:xfrm>
                                <a:off x="0" y="0"/>
                                <a:ext cx="98425" cy="27095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13.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729/000010272921000055/vmi-ex221_20210925x10q.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13029</Words>
  <Characters>75894</Characters>
  <CharactersWithSpaces>90093</CharactersWithSpaces>
  <Paragraphs>5003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