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pPr>
      <w:bookmarkStart w:id="0" w:name="vmi-20261020x8k.htm"/>
      <w:bookmarkStart w:id="1" w:name="ksvmi20261020x8k"/>
      <w:bookmarkEnd w:id="0"/>
      <w:bookmarkEnd w:id="1"/>
      <w:r>
        <w:rPr/>
        <w:t>​</w:t>
      </w:r>
    </w:p>
    <w:p>
      <w:pPr>
        <w:pStyle w:val="TextBody"/>
        <w:pBdr>
          <w:top w:val="single" w:sz="18"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120" w:after="0"/>
        <w:ind w:left="0" w:right="0" w:hanging="0"/>
        <w:jc w:val="center"/>
        <w:rPr>
          <w:rFonts w:ascii="Times New Roman;Times;serif" w:hAnsi="Times New Roman;Times;serif"/>
          <w:b/>
          <w:sz w:val="20"/>
        </w:rPr>
      </w:pPr>
      <w:bookmarkStart w:id="2" w:name="_e66b0624_9eab_4efb_a916_1277f458edce"/>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8-K</w:t>
      </w:r>
    </w:p>
    <w:p>
      <w:pPr>
        <w:pStyle w:val="TextBody"/>
        <w:bidi w:val="0"/>
        <w:spacing w:before="120" w:after="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CURRENT REPORT</w:t>
      </w:r>
    </w:p>
    <w:p>
      <w:pPr>
        <w:pStyle w:val="TextBody"/>
        <w:bidi w:val="0"/>
        <w:spacing w:before="0" w:after="240"/>
        <w:ind w:left="0" w:right="0" w:hanging="0"/>
        <w:jc w:val="center"/>
        <w:rPr>
          <w:rFonts w:ascii="Times New Roman;Times;serif" w:hAnsi="Times New Roman;Times;serif"/>
          <w:b/>
          <w:color w:val="231F20"/>
          <w:sz w:val="20"/>
        </w:rPr>
      </w:pPr>
      <w:r>
        <w:rPr>
          <w:rFonts w:ascii="Times New Roman;Times;serif" w:hAnsi="Times New Roman;Times;serif"/>
          <w:b/>
          <w:color w:val="231F20"/>
          <w:sz w:val="20"/>
        </w:rPr>
        <w:t>Pursuant to Section 13 OR 15(d) of The Securities Exchange Act of 1934</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October 20, 2026</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Date of Report (Date of earliest event reported)</w:t>
      </w:r>
    </w:p>
    <w:p>
      <w:pPr>
        <w:pStyle w:val="TextBody"/>
        <w:bidi w:val="0"/>
        <w:spacing w:before="120" w:after="0"/>
        <w:ind w:left="0" w:right="0" w:hanging="0"/>
        <w:jc w:val="center"/>
        <w:rPr>
          <w:rFonts w:ascii="Times New Roman;Times;serif" w:hAnsi="Times New Roman;Times;serif"/>
          <w:b/>
          <w:sz w:val="32"/>
        </w:rPr>
      </w:pPr>
      <w:r>
        <w:rPr>
          <w:rFonts w:ascii="Times New Roman;Times;serif" w:hAnsi="Times New Roman;Times;serif"/>
          <w:b/>
          <w:sz w:val="32"/>
        </w:rPr>
        <w:t>Valmont Industries, Inc.</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w:t>
      </w:r>
    </w:p>
    <w:p>
      <w:pPr>
        <w:pStyle w:val="Normal"/>
        <w:bidi w:val="0"/>
        <w:spacing w:before="0" w:after="0"/>
        <w:jc w:val="left"/>
        <w:rPr>
          <w:sz w:val="4"/>
          <w:szCs w:val="4"/>
        </w:rPr>
      </w:pPr>
      <w:r>
        <w:rPr>
          <w:sz w:val="4"/>
          <w:szCs w:val="4"/>
        </w:rPr>
      </w:r>
      <w:bookmarkStart w:id="3" w:name="Tc_rOZ3WvHrNU-QINlRsPcVAg_5_2"/>
      <w:bookmarkStart w:id="4" w:name="Tc__mErShH26kOtFWGxlky1Vg_5_0"/>
      <w:bookmarkStart w:id="5" w:name="Tc_1Ves0gK5xU6CZ23RchVhMA_4_0"/>
      <w:bookmarkStart w:id="6" w:name="Tc_DQtpylO4M0-7cPo1c6zBWQ_1_2"/>
      <w:bookmarkStart w:id="7" w:name="Tc_-srochCLhE-0zMOdqKGgnQ_1_0"/>
      <w:bookmarkStart w:id="8" w:name="_af10134d_f9af_460e_a7b5_077e439465fc"/>
      <w:bookmarkStart w:id="9" w:name="Tc_rOZ3WvHrNU-QINlRsPcVAg_5_2"/>
      <w:bookmarkStart w:id="10" w:name="Tc__mErShH26kOtFWGxlky1Vg_5_0"/>
      <w:bookmarkStart w:id="11" w:name="Tc_1Ves0gK5xU6CZ23RchVhMA_4_0"/>
      <w:bookmarkStart w:id="12" w:name="Tc_DQtpylO4M0-7cPo1c6zBWQ_1_2"/>
      <w:bookmarkStart w:id="13" w:name="Tc_-srochCLhE-0zMOdqKGgnQ_1_0"/>
      <w:bookmarkStart w:id="14" w:name="_af10134d_f9af_460e_a7b5_077e439465fc"/>
      <w:bookmarkEnd w:id="9"/>
      <w:bookmarkEnd w:id="10"/>
      <w:bookmarkEnd w:id="11"/>
      <w:bookmarkEnd w:id="12"/>
      <w:bookmarkEnd w:id="13"/>
      <w:bookmarkEnd w:id="14"/>
    </w:p>
    <w:tbl>
      <w:tblPr>
        <w:tblW w:w="5511" w:type="dxa"/>
        <w:jc w:val="left"/>
        <w:tblInd w:w="0" w:type="dxa"/>
        <w:tblLayout w:type="fixed"/>
        <w:tblCellMar>
          <w:top w:w="0" w:type="dxa"/>
          <w:left w:w="0" w:type="dxa"/>
          <w:bottom w:w="0" w:type="dxa"/>
          <w:right w:w="0" w:type="dxa"/>
        </w:tblCellMar>
      </w:tblPr>
      <w:tblGrid>
        <w:gridCol w:w="2866"/>
        <w:gridCol w:w="109"/>
        <w:gridCol w:w="2536"/>
      </w:tblGrid>
      <w:tr>
        <w:trPr/>
        <w:tc>
          <w:tcPr>
            <w:tcW w:w="28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1-31429</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5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47-0351813</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 File Number)</w:t>
            </w:r>
          </w:p>
        </w:tc>
        <w:tc>
          <w:tcPr>
            <w:tcW w:w="109" w:type="dxa"/>
            <w:tcBorders/>
            <w:vAlign w:val="center"/>
          </w:tcPr>
          <w:p>
            <w:pPr>
              <w:pStyle w:val="TableContents"/>
              <w:bidi w:val="0"/>
              <w:spacing w:before="0" w:after="0"/>
              <w:ind w:left="0" w:right="0" w:hanging="0"/>
              <w:jc w:val="center"/>
              <w:rPr/>
            </w:pPr>
            <w:r>
              <w:rPr/>
              <w:t>​</w:t>
            </w:r>
          </w:p>
        </w:tc>
        <w:tc>
          <w:tcPr>
            <w:tcW w:w="25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28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15000 Valmont Plaza</w:t>
            </w:r>
          </w:p>
        </w:tc>
        <w:tc>
          <w:tcPr>
            <w:tcW w:w="109"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68154</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Omaha,</w:t>
            </w:r>
            <w:r>
              <w:rPr>
                <w:rFonts w:ascii="Times New Roman;Times;serif" w:hAnsi="Times New Roman;Times;serif"/>
                <w:sz w:val="20"/>
              </w:rPr>
              <w:t xml:space="preserve"> </w:t>
            </w:r>
            <w:r>
              <w:rPr>
                <w:rFonts w:ascii="Times New Roman;Times;serif" w:hAnsi="Times New Roman;Times;serif"/>
                <w:b/>
                <w:sz w:val="20"/>
              </w:rPr>
              <w:t>Nebraska</w:t>
            </w:r>
          </w:p>
        </w:tc>
        <w:tc>
          <w:tcPr>
            <w:tcW w:w="109"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center"/>
              <w:rPr/>
            </w:pPr>
            <w:r>
              <w:rPr/>
              <w: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09"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(402) 963-1000</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120"/>
        <w:ind w:left="0" w:right="0" w:hanging="0"/>
        <w:jc w:val="center"/>
        <w:rPr>
          <w:rFonts w:ascii="Times New Roman;Times;serif" w:hAnsi="Times New Roman;Times;serif"/>
          <w:color w:val="231F20"/>
          <w:sz w:val="16"/>
        </w:rPr>
      </w:pPr>
      <w:r>
        <w:rPr>
          <w:rFonts w:ascii="Times New Roman;Times;serif" w:hAnsi="Times New Roman;Times;serif"/>
          <w:color w:val="231F20"/>
          <w:sz w:val="16"/>
        </w:rPr>
        <w:t>(Former name or former address, if changed since last report.)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120"/>
        <w:ind w:left="0" w:right="0" w:hanging="0"/>
        <w:jc w:val="left"/>
        <w:rPr/>
      </w:pPr>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120"/>
        <w:ind w:left="0" w:right="0" w:hanging="0"/>
        <w:jc w:val="left"/>
        <w:rPr/>
      </w:pPr>
      <w:r>
        <w:rPr/>
        <w:t xml:space="preserve">☐ </w:t>
      </w:r>
      <w:r>
        <w:rPr>
          <w:rFonts w:ascii="Times New Roman;Times;serif" w:hAnsi="Times New Roman;Times;serif"/>
          <w:color w:val="231F20"/>
          <w:sz w:val="20"/>
        </w:rPr>
        <w:t>Soliciting material pursuant to Rule 14a-12 under the Exchange Act (17 CFR 240.14a-12)</w:t>
      </w:r>
    </w:p>
    <w:p>
      <w:pPr>
        <w:pStyle w:val="TextBody"/>
        <w:bidi w:val="0"/>
        <w:spacing w:before="0" w:after="120"/>
        <w:ind w:left="0" w:right="0" w:hanging="0"/>
        <w:jc w:val="left"/>
        <w:rPr/>
      </w:pPr>
      <w:r>
        <w:rPr/>
        <w:t xml:space="preserve">☐ </w:t>
      </w:r>
      <w:r>
        <w:rPr>
          <w:rFonts w:ascii="Times New Roman;Times;serif" w:hAnsi="Times New Roman;Times;serif"/>
          <w:color w:val="231F20"/>
          <w:sz w:val="20"/>
        </w:rPr>
        <w:t>Pre-commencement communications pursuant to Rule 14d-2(b) under the Exchange Act (17 CFR 240.14d-2(b))</w:t>
      </w:r>
    </w:p>
    <w:p>
      <w:pPr>
        <w:pStyle w:val="TextBody"/>
        <w:bidi w:val="0"/>
        <w:spacing w:before="0" w:after="240"/>
        <w:ind w:left="0" w:right="0" w:hanging="0"/>
        <w:jc w:val="left"/>
        <w:rPr/>
      </w:pPr>
      <w:r>
        <w:rPr/>
        <w:t xml:space="preserve">☐ </w:t>
      </w:r>
      <w:r>
        <w:rPr>
          <w:rFonts w:ascii="Times New Roman;Times;serif" w:hAnsi="Times New Roman;Times;serif"/>
          <w:color w:val="231F20"/>
          <w:sz w:val="20"/>
        </w:rPr>
        <w:t>Pre-commencement communications pursuant to Rule 13e-4(c) under the Exchange Act (17 CFR 240.13e-4(c))</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5" w:name="Tc_uOO_ZSDIGk6ZmZyKmxSwmg_1_4"/>
      <w:bookmarkStart w:id="16" w:name="Tc_NGK2-thkPUS0Qs335ImtPg_1_2"/>
      <w:bookmarkStart w:id="17" w:name="Tc_HsyiEU-9OkyK0tGzbl--BQ_1_0"/>
      <w:bookmarkStart w:id="18" w:name="_93d5eed6_493c_4bbb_8b36_945d215b1edd"/>
      <w:bookmarkStart w:id="19" w:name="Tc_uOO_ZSDIGk6ZmZyKmxSwmg_1_4"/>
      <w:bookmarkStart w:id="20" w:name="Tc_NGK2-thkPUS0Qs335ImtPg_1_2"/>
      <w:bookmarkStart w:id="21" w:name="Tc_HsyiEU-9OkyK0tGzbl--BQ_1_0"/>
      <w:bookmarkStart w:id="22" w:name="_93d5eed6_493c_4bbb_8b36_945d215b1edd"/>
      <w:bookmarkEnd w:id="19"/>
      <w:bookmarkEnd w:id="20"/>
      <w:bookmarkEnd w:id="21"/>
      <w:bookmarkEnd w:id="22"/>
    </w:p>
    <w:tbl>
      <w:tblPr>
        <w:tblW w:w="8630" w:type="dxa"/>
        <w:jc w:val="left"/>
        <w:tblInd w:w="0" w:type="dxa"/>
        <w:tblLayout w:type="fixed"/>
        <w:tblCellMar>
          <w:top w:w="0" w:type="dxa"/>
          <w:left w:w="0" w:type="dxa"/>
          <w:bottom w:w="0" w:type="dxa"/>
          <w:right w:w="0" w:type="dxa"/>
        </w:tblCellMar>
      </w:tblPr>
      <w:tblGrid>
        <w:gridCol w:w="2731"/>
        <w:gridCol w:w="286"/>
        <w:gridCol w:w="1621"/>
        <w:gridCol w:w="286"/>
        <w:gridCol w:w="3706"/>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734185" cy="175260"/>
                      <wp:effectExtent l="0" t="0" r="0" b="0"/>
                      <wp:wrapNone/>
                      <wp:docPr id="1" name="Frame1"/>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1610" cy="175260"/>
                      <wp:effectExtent l="0" t="0" r="0" b="0"/>
                      <wp:wrapNone/>
                      <wp:docPr id="2" name="Frame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29335" cy="175260"/>
                      <wp:effectExtent l="0" t="0" r="0" b="0"/>
                      <wp:wrapNone/>
                      <wp:docPr id="3" name="Frame3"/>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81610" cy="175260"/>
                      <wp:effectExtent l="0" t="0" r="0" b="0"/>
                      <wp:wrapNone/>
                      <wp:docPr id="4" name="Frame4"/>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353310" cy="175260"/>
                      <wp:effectExtent l="0" t="0" r="0" b="0"/>
                      <wp:wrapNone/>
                      <wp:docPr id="5" name="Frame5"/>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286" w:type="dxa"/>
            <w:tcBorders/>
            <w:vAlign w:val="center"/>
          </w:tcPr>
          <w:p>
            <w:pPr>
              <w:pStyle w:val="TableContents"/>
              <w:bidi w:val="0"/>
              <w:spacing w:before="0" w:after="0"/>
              <w:ind w:left="0" w:right="0" w:hanging="0"/>
              <w:jc w:val="left"/>
              <w:rPr/>
            </w:pPr>
            <w:r>
              <w:rPr/>
              <w:t>  ​ ​</w:t>
            </w:r>
          </w:p>
        </w:tc>
        <w:tc>
          <w:tcPr>
            <w:tcW w:w="162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286" w:type="dxa"/>
            <w:tcBorders/>
            <w:vAlign w:val="center"/>
          </w:tcPr>
          <w:p>
            <w:pPr>
              <w:pStyle w:val="TableContents"/>
              <w:bidi w:val="0"/>
              <w:spacing w:before="0" w:after="0"/>
              <w:ind w:left="0" w:right="0" w:hanging="0"/>
              <w:jc w:val="left"/>
              <w:rPr/>
            </w:pPr>
            <w:r>
              <w:rPr/>
              <w:t>  ​ ​</w:t>
            </w:r>
          </w:p>
        </w:tc>
        <w:tc>
          <w:tcPr>
            <w:tcW w:w="370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73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$1.00 par value</w:t>
            </w:r>
          </w:p>
        </w:tc>
        <w:tc>
          <w:tcPr>
            <w:tcW w:w="286" w:type="dxa"/>
            <w:tcBorders/>
            <w:vAlign w:val="center"/>
          </w:tcPr>
          <w:p>
            <w:pPr>
              <w:pStyle w:val="TableContents"/>
              <w:bidi w:val="0"/>
              <w:spacing w:before="0" w:after="0"/>
              <w:ind w:left="0" w:right="0" w:hanging="0"/>
              <w:jc w:val="left"/>
              <w:rPr/>
            </w:pPr>
            <w:r>
              <w:rPr/>
              <w:t>​</w:t>
            </w:r>
          </w:p>
        </w:tc>
        <w:tc>
          <w:tcPr>
            <w:tcW w:w="1621"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VMI</w:t>
            </w:r>
          </w:p>
        </w:tc>
        <w:tc>
          <w:tcPr>
            <w:tcW w:w="286" w:type="dxa"/>
            <w:tcBorders/>
            <w:vAlign w:val="center"/>
          </w:tcPr>
          <w:p>
            <w:pPr>
              <w:pStyle w:val="TableContents"/>
              <w:bidi w:val="0"/>
              <w:spacing w:before="0" w:after="0"/>
              <w:ind w:left="0" w:right="0" w:hanging="0"/>
              <w:jc w:val="left"/>
              <w:rPr/>
            </w:pPr>
            <w:r>
              <w:rPr/>
              <w:t>​</w:t>
            </w:r>
          </w:p>
        </w:tc>
        <w:tc>
          <w:tcPr>
            <w:tcW w:w="370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color w:val="231F20"/>
          <w:sz w:val="20"/>
        </w:rPr>
        <w:t xml:space="preserve">Emerging growth company </w:t>
      </w:r>
      <w:r>
        <w:rPr>
          <w:rFonts w:ascii="Times New Roman;Times;serif" w:hAnsi="Times New Roman;Times;serif"/>
          <w:sz w:val="20"/>
        </w:rPr>
        <w:t>☐</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right"/>
        <w:rPr/>
      </w:pPr>
      <w:r>
        <w:rPr/>
        <w:t>☐</w:t>
      </w:r>
    </w:p>
    <w:p>
      <w:pPr>
        <w:pStyle w:val="TextBody"/>
        <w:bidi w:val="0"/>
        <w:spacing w:before="0" w:after="0"/>
        <w:ind w:left="0" w:right="0" w:hanging="0"/>
        <w:jc w:val="left"/>
        <w:rPr/>
      </w:pPr>
      <w:r>
        <w:rPr/>
        <w:t>​</w:t>
      </w:r>
    </w:p>
    <w:p>
      <w:pPr>
        <w:pStyle w:val="TextBody"/>
        <w:pBdr>
          <w:top w:val="single" w:sz="2" w:space="1" w:color="000000"/>
          <w:bottom w:val="single" w:sz="1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3" w:name="_b47e598a_0702_4e0e_8cc1_f2b3beb2d282"/>
      <w:bookmarkEnd w:id="23"/>
      <w:r>
        <w:rPr>
          <w:rFonts w:ascii="Times New Roman;Times;serif" w:hAnsi="Times New Roman;Times;serif"/>
          <w:b/>
          <w:sz w:val="20"/>
        </w:rPr>
        <w:t>Item 2.02. Results of Operations and Financial Condition.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Valmont Industries, Inc. issued a press release on October 20, 2026 announcing its financial results for its fiscal quarter ended September 26, 2026. The press release is furnished with this Form 8-K as Exhibit 99.1.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information in Item 2.02 is being furnished and shall not be deemed “filed” for the purpose of Section 18 of the Securities Exchange Act of 1934, as amended (the “Exchange Act”), or otherwise subject to the liabilities of that section. The information in Item 2.02 shall not be deemed incorporated by reference in any filing under the Securities Act of 1933, as amended, or the Exchange Act, except as shall be expressly set forth by specific reference in such a filing.</w:t>
      </w:r>
    </w:p>
    <w:p>
      <w:pPr>
        <w:pStyle w:val="TextBody"/>
        <w:bidi w:val="0"/>
        <w:spacing w:before="0" w:after="240"/>
        <w:ind w:left="0" w:right="0" w:hanging="0"/>
        <w:jc w:val="left"/>
        <w:rPr>
          <w:rFonts w:ascii="Times New Roman;Times;serif" w:hAnsi="Times New Roman;Times;serif"/>
          <w:b/>
          <w:sz w:val="20"/>
        </w:rPr>
      </w:pPr>
      <w:bookmarkStart w:id="24" w:name="_5a308e09_6589_4ca8_9b70_a374589fbf55"/>
      <w:bookmarkEnd w:id="24"/>
      <w:r>
        <w:rPr>
          <w:rFonts w:ascii="Times New Roman;Times;serif" w:hAnsi="Times New Roman;Times;serif"/>
          <w:b/>
          <w:sz w:val="20"/>
        </w:rPr>
        <w:t>Item 9.01. Financial Statements and Exhibits.</w:t>
      </w:r>
    </w:p>
    <w:tbl>
      <w:tblPr>
        <w:tblW w:w="9471" w:type="dxa"/>
        <w:jc w:val="left"/>
        <w:tblInd w:w="0" w:type="dxa"/>
        <w:tblLayout w:type="fixed"/>
        <w:tblCellMar>
          <w:top w:w="0" w:type="dxa"/>
          <w:left w:w="0" w:type="dxa"/>
          <w:bottom w:w="0" w:type="dxa"/>
          <w:right w:w="0" w:type="dxa"/>
        </w:tblCellMar>
      </w:tblPr>
      <w:tblGrid>
        <w:gridCol w:w="1081"/>
        <w:gridCol w:w="109"/>
        <w:gridCol w:w="8281"/>
      </w:tblGrid>
      <w:tr>
        <w:trPr/>
        <w:tc>
          <w:tcPr>
            <w:tcW w:w="10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81" w:type="dxa"/>
            <w:tcBorders/>
            <w:vAlign w:val="center"/>
          </w:tcPr>
          <w:p>
            <w:pPr>
              <w:pStyle w:val="TableContents"/>
              <w:bidi w:val="0"/>
              <w:spacing w:before="0" w:after="0"/>
              <w:ind w:left="0" w:right="0" w:hanging="0"/>
              <w:jc w:val="left"/>
              <w:rPr/>
            </w:pPr>
            <w:r>
              <w:rPr/>
              <w:t>​</w:t>
            </w:r>
          </w:p>
        </w:tc>
      </w:tr>
      <w:tr>
        <w:trPr/>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109" w:type="dxa"/>
            <w:tcBorders/>
            <w:vAlign w:val="center"/>
          </w:tcPr>
          <w:p>
            <w:pPr>
              <w:pStyle w:val="TableContents"/>
              <w:bidi w:val="0"/>
              <w:spacing w:before="0" w:after="0"/>
              <w:ind w:left="0" w:right="0" w:hanging="0"/>
              <w:jc w:val="center"/>
              <w:rPr/>
            </w:pPr>
            <w:r>
              <w:rPr/>
              <w:t>​</w:t>
            </w:r>
          </w:p>
        </w:tc>
        <w:tc>
          <w:tcPr>
            <w:tcW w:w="82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109" w:type="dxa"/>
            <w:tcBorders/>
            <w:vAlign w:val="center"/>
          </w:tcPr>
          <w:p>
            <w:pPr>
              <w:pStyle w:val="TableContents"/>
              <w:bidi w:val="0"/>
              <w:spacing w:before="0" w:after="0"/>
              <w:ind w:left="0" w:right="0" w:hanging="0"/>
              <w:jc w:val="left"/>
              <w:rPr/>
            </w:pPr>
            <w:r>
              <w:rPr/>
              <w:t>​</w:t>
            </w:r>
          </w:p>
        </w:tc>
        <w:tc>
          <w:tcPr>
            <w:tcW w:w="8281" w:type="dxa"/>
            <w:tcBorders>
              <w:top w:val="single" w:sz="2" w:space="0" w:color="000000"/>
            </w:tcBorders>
            <w:tcMar>
              <w:top w:w="28" w:type="dxa"/>
            </w:tcMar>
            <w:vAlign w:val="center"/>
          </w:tcPr>
          <w:p>
            <w:pPr>
              <w:pStyle w:val="TableContents"/>
              <w:bidi w:val="0"/>
              <w:spacing w:before="0" w:after="0"/>
              <w:ind w:left="0" w:right="0" w:hanging="0"/>
              <w:jc w:val="left"/>
              <w:rPr/>
            </w:pPr>
            <w:hyperlink w:anchor="vmi-ex99d1.htm">
              <w:r>
                <w:rPr>
                  <w:rStyle w:val="InternetLink"/>
                  <w:rFonts w:ascii="Times New Roman;Times;serif" w:hAnsi="Times New Roman;Times;serif"/>
                  <w:b w:val="false"/>
                  <w:i w:val="false"/>
                  <w:caps w:val="false"/>
                  <w:smallCaps w:val="false"/>
                  <w:sz w:val="20"/>
                </w:rPr>
                <w:t>Earnings Press Release dated October 20, 2026</w:t>
              </w:r>
            </w:hyperlink>
          </w:p>
        </w:tc>
      </w:tr>
      <w:tr>
        <w:trPr/>
        <w:tc>
          <w:tcPr>
            <w:tcW w:w="10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8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File (the cover page XBRL tags are embedded 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5" w:name="_1ed82613_9f58_453f_8315_191dda853f9f"/>
      <w:bookmarkEnd w:id="25"/>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5545" w:type="dxa"/>
        <w:jc w:val="left"/>
        <w:tblInd w:w="0" w:type="dxa"/>
        <w:tblLayout w:type="fixed"/>
        <w:tblCellMar>
          <w:top w:w="0" w:type="dxa"/>
          <w:left w:w="0" w:type="dxa"/>
          <w:bottom w:w="0" w:type="dxa"/>
          <w:right w:w="0" w:type="dxa"/>
        </w:tblCellMar>
      </w:tblPr>
      <w:tblGrid>
        <w:gridCol w:w="124"/>
        <w:gridCol w:w="109"/>
        <w:gridCol w:w="872"/>
        <w:gridCol w:w="3962"/>
        <w:gridCol w:w="478"/>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pPr>
            <w:r>
              <w:rPr/>
              <w:t>​</w:t>
            </w:r>
          </w:p>
        </w:tc>
        <w:tc>
          <w:tcPr>
            <w:tcW w:w="4440" w:type="dxa"/>
            <w:gridSpan w:val="2"/>
            <w:tcBorders/>
            <w:vAlign w:val="center"/>
          </w:tcPr>
          <w:p>
            <w:pPr>
              <w:pStyle w:val="TableContents"/>
              <w:bidi w:val="0"/>
              <w:spacing w:before="0" w:after="0"/>
              <w:ind w:left="0" w:right="0" w:hanging="0"/>
              <w:jc w:val="left"/>
              <w:rPr/>
            </w:pPr>
            <w:r>
              <w:rPr/>
              <w:t>​</w:t>
            </w:r>
          </w:p>
        </w:tc>
      </w:tr>
      <w:tr>
        <w:trPr/>
        <w:tc>
          <w:tcPr>
            <w:tcW w:w="233" w:type="dxa"/>
            <w:gridSpan w:val="2"/>
            <w:tcBorders/>
            <w:vAlign w:val="center"/>
          </w:tcPr>
          <w:p>
            <w:pPr>
              <w:pStyle w:val="TableContents"/>
              <w:bidi w:val="0"/>
              <w:spacing w:before="0" w:after="0"/>
              <w:ind w:left="0" w:right="0" w:hanging="0"/>
              <w:jc w:val="left"/>
              <w:rPr/>
            </w:pPr>
            <w:r>
              <w:rPr/>
              <w:t>​</w:t>
            </w:r>
          </w:p>
        </w:tc>
        <w:tc>
          <w:tcPr>
            <w:tcW w:w="5312"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VALMONT INDUSTRIES, INC.</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shd w:fill="FFFF00" w:val="clear"/>
              </w:rPr>
            </w:pPr>
            <w:r>
              <w:rPr>
                <w:shd w:fill="FFFF00" w:val="clear"/>
              </w:rPr>
              <w:t>​</w:t>
            </w:r>
          </w:p>
        </w:tc>
        <w:tc>
          <w:tcPr>
            <w:tcW w:w="872" w:type="dxa"/>
            <w:tcBorders/>
            <w:vAlign w:val="center"/>
          </w:tcPr>
          <w:p>
            <w:pPr>
              <w:pStyle w:val="TableContents"/>
              <w:bidi w:val="0"/>
              <w:spacing w:before="0" w:after="0"/>
              <w:ind w:left="0" w:right="0" w:hanging="0"/>
              <w:jc w:val="left"/>
              <w:rPr/>
            </w:pPr>
            <w:r>
              <w:rPr/>
              <w:t>​</w:t>
            </w:r>
          </w:p>
        </w:tc>
        <w:tc>
          <w:tcPr>
            <w:tcW w:w="4440" w:type="dxa"/>
            <w:gridSpan w:val="2"/>
            <w:tcBorders/>
            <w:vAlign w:val="center"/>
          </w:tcPr>
          <w:p>
            <w:pPr>
              <w:pStyle w:val="TableContents"/>
              <w:bidi w:val="0"/>
              <w:spacing w:before="0" w:after="0"/>
              <w:ind w:left="0" w:right="0" w:hanging="0"/>
              <w:jc w:val="left"/>
              <w:rPr/>
            </w:pPr>
            <w:r>
              <w:rPr/>
              <w:t>​</w:t>
            </w:r>
          </w:p>
        </w:tc>
      </w:tr>
      <w:tr>
        <w:trPr/>
        <w:tc>
          <w:tcPr>
            <w:tcW w:w="233" w:type="dxa"/>
            <w:gridSpan w:val="2"/>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SCHWIETZ</w:t>
            </w:r>
          </w:p>
        </w:tc>
      </w:tr>
      <w:tr>
        <w:trPr/>
        <w:tc>
          <w:tcPr>
            <w:tcW w:w="233" w:type="dxa"/>
            <w:gridSpan w:val="2"/>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9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Schwietz</w:t>
            </w:r>
          </w:p>
        </w:tc>
        <w:tc>
          <w:tcPr>
            <w:tcW w:w="478" w:type="dxa"/>
            <w:tcBorders/>
            <w:vAlign w:val="center"/>
          </w:tcPr>
          <w:p>
            <w:pPr>
              <w:pStyle w:val="TableContents"/>
              <w:bidi w:val="0"/>
              <w:spacing w:before="0" w:after="0"/>
              <w:ind w:left="0" w:right="0" w:hanging="0"/>
              <w:jc w:val="left"/>
              <w:rPr/>
            </w:pPr>
            <w:r>
              <w:rPr/>
              <w:t>​</w:t>
            </w:r>
          </w:p>
        </w:tc>
      </w:tr>
      <w:tr>
        <w:trPr/>
        <w:tc>
          <w:tcPr>
            <w:tcW w:w="233" w:type="dxa"/>
            <w:gridSpan w:val="2"/>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4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October 20, 2026</w:t>
      </w:r>
    </w:p>
    <w:p>
      <w:pPr>
        <w:pStyle w:val="TextBody"/>
        <w:bidi w:val="0"/>
        <w:spacing w:before="600" w:after="283"/>
        <w:jc w:val="left"/>
        <w:rPr/>
      </w:pPr>
      <w:bookmarkStart w:id="26" w:name="vmi-ex99d1.htm"/>
      <w:bookmarkStart w:id="27" w:name="ksvmiex99d1"/>
      <w:bookmarkEnd w:id="26"/>
      <w:bookmarkEnd w:id="27"/>
      <w:r>
        <w:rPr/>
        <w:drawing>
          <wp:inline distT="0" distB="0" distL="0" distR="0">
            <wp:extent cx="7766685" cy="148780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7766685" cy="1487805"/>
                    </a:xfrm>
                    <a:prstGeom prst="rect">
                      <a:avLst/>
                    </a:prstGeom>
                  </pic:spPr>
                </pic:pic>
              </a:graphicData>
            </a:graphic>
          </wp:inline>
        </w:drawing>
      </w:r>
      <w:r>
        <w:br w:type="page"/>
      </w:r>
    </w:p>
    <w:p>
      <w:pPr>
        <w:pStyle w:val="TextBody"/>
        <w:bidi w:val="0"/>
        <w:spacing w:before="0" w:after="0"/>
        <w:ind w:left="0" w:right="0" w:hanging="0"/>
        <w:jc w:val="left"/>
        <w:rPr/>
      </w:pPr>
      <w:r>
        <w:rPr/>
        <w:t>​</w:t>
      </w:r>
    </w:p>
    <w:p>
      <w:pPr>
        <w:pStyle w:val="TextBody"/>
        <w:bidi w:val="0"/>
        <w:spacing w:before="1080" w:after="240"/>
        <w:ind w:left="0" w:right="0" w:hanging="0"/>
        <w:jc w:val="right"/>
        <w:rPr>
          <w:rFonts w:ascii="Arial;Helvetica;sans-serif" w:hAnsi="Arial;Helvetica;sans-serif"/>
          <w:b/>
          <w:sz w:val="22"/>
        </w:rPr>
      </w:pPr>
      <w:r>
        <w:rPr>
          <w:rFonts w:ascii="Arial;Helvetica;sans-serif" w:hAnsi="Arial;Helvetica;sans-serif"/>
          <w:b/>
          <w:sz w:val="22"/>
        </w:rPr>
        <w:t>Exhibit 99.1</w:t>
      </w:r>
    </w:p>
    <w:tbl>
      <w:tblPr>
        <w:tblW w:w="7382" w:type="dxa"/>
        <w:jc w:val="center"/>
        <w:tblInd w:w="0" w:type="dxa"/>
        <w:tblLayout w:type="fixed"/>
        <w:tblCellMar>
          <w:top w:w="0" w:type="dxa"/>
          <w:left w:w="0" w:type="dxa"/>
          <w:bottom w:w="0" w:type="dxa"/>
          <w:right w:w="0" w:type="dxa"/>
        </w:tblCellMar>
      </w:tblPr>
      <w:tblGrid>
        <w:gridCol w:w="1021"/>
        <w:gridCol w:w="3061"/>
        <w:gridCol w:w="428"/>
        <w:gridCol w:w="2872"/>
      </w:tblGrid>
      <w:tr>
        <w:trPr/>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335" cy="175260"/>
                      <wp:effectExtent l="0" t="0" r="0" b="0"/>
                      <wp:wrapNone/>
                      <wp:docPr id="7" name="Frame6"/>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943735" cy="175260"/>
                      <wp:effectExtent l="0" t="0" r="0" b="0"/>
                      <wp:wrapNone/>
                      <wp:docPr id="8" name="Frame7"/>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96135" cy="175260"/>
                      <wp:effectExtent l="0" t="0" r="0" b="0"/>
                      <wp:wrapNone/>
                      <wp:docPr id="9" name="Frame8"/>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82" w:type="dxa"/>
            <w:gridSpan w:val="2"/>
            <w:tcBorders/>
            <w:vAlign w:val="center"/>
          </w:tcPr>
          <w:p>
            <w:pPr>
              <w:pStyle w:val="TableContents"/>
              <w:bidi w:val="0"/>
              <w:spacing w:before="0" w:after="0"/>
              <w:ind w:left="0" w:right="0" w:hanging="0"/>
              <w:jc w:val="left"/>
              <w:rPr/>
            </w:pPr>
            <w:r>
              <w:rPr/>
              <w:t>​</w:t>
            </w:r>
          </w:p>
        </w:tc>
        <w:tc>
          <w:tcPr>
            <w:tcW w:w="3300" w:type="dxa"/>
            <w:gridSpan w:val="2"/>
            <w:tcBorders/>
            <w:vAlign w:val="center"/>
          </w:tcPr>
          <w:p>
            <w:pPr>
              <w:pStyle w:val="TableContents"/>
              <w:bidi w:val="0"/>
              <w:spacing w:before="0" w:after="0"/>
              <w:ind w:left="0" w:right="0" w:hanging="0"/>
              <w:jc w:val="right"/>
              <w:rPr>
                <w:rFonts w:ascii="Arial;Helvetica;sans-serif" w:hAnsi="Arial;Helvetica;sans-serif"/>
                <w:b/>
                <w:sz w:val="24"/>
              </w:rPr>
            </w:pPr>
            <w:r>
              <w:rPr>
                <w:rFonts w:ascii="Arial;Helvetica;sans-serif" w:hAnsi="Arial;Helvetica;sans-serif"/>
                <w:b/>
                <w:sz w:val="24"/>
              </w:rPr>
              <w:t>FOR IMMEDIATE RELEASE</w:t>
            </w:r>
          </w:p>
        </w:tc>
      </w:tr>
      <w:tr>
        <w:trPr/>
        <w:tc>
          <w:tcPr>
            <w:tcW w:w="1021"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left"/>
              <w:rPr/>
            </w:pPr>
            <w:r>
              <w:rPr/>
              <w:t>​</w:t>
            </w:r>
          </w:p>
        </w:tc>
        <w:tc>
          <w:tcPr>
            <w:tcW w:w="3300" w:type="dxa"/>
            <w:gridSpan w:val="2"/>
            <w:tcBorders/>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Contact:</w:t>
            </w:r>
          </w:p>
        </w:tc>
        <w:tc>
          <w:tcPr>
            <w:tcW w:w="3489" w:type="dxa"/>
            <w:gridSpan w:val="2"/>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Renee Campbell</w:t>
            </w:r>
          </w:p>
        </w:tc>
        <w:tc>
          <w:tcPr>
            <w:tcW w:w="2872" w:type="dxa"/>
            <w:tcBorders/>
            <w:vAlign w:val="center"/>
          </w:tcPr>
          <w:p>
            <w:pPr>
              <w:pStyle w:val="TableContents"/>
              <w:bidi w:val="0"/>
              <w:spacing w:before="0" w:after="0"/>
              <w:ind w:left="0" w:right="0" w:hanging="0"/>
              <w:jc w:val="right"/>
              <w:rPr/>
            </w:pPr>
            <w:r>
              <w:rPr/>
              <w:t>​</w:t>
            </w:r>
          </w:p>
        </w:tc>
      </w:tr>
      <w:tr>
        <w:trPr/>
        <w:tc>
          <w:tcPr>
            <w:tcW w:w="1021" w:type="dxa"/>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Email:</w:t>
            </w:r>
          </w:p>
        </w:tc>
        <w:tc>
          <w:tcPr>
            <w:tcW w:w="3061"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renee.campbell@valmont.com</w:t>
            </w:r>
          </w:p>
        </w:tc>
        <w:tc>
          <w:tcPr>
            <w:tcW w:w="3300" w:type="dxa"/>
            <w:gridSpan w:val="2"/>
            <w:tcBorders/>
            <w:vAlign w:val="center"/>
          </w:tcPr>
          <w:p>
            <w:pPr>
              <w:pStyle w:val="TableContents"/>
              <w:bidi w:val="0"/>
              <w:spacing w:before="0" w:after="0"/>
              <w:ind w:left="0" w:right="0" w:hanging="0"/>
              <w:jc w:val="left"/>
              <w:rPr/>
            </w:pPr>
            <w:r>
              <w:rPr/>
              <w:t>​</w:t>
            </w:r>
          </w:p>
        </w:tc>
      </w:tr>
      <w:tr>
        <w:trPr/>
        <w:tc>
          <w:tcPr>
            <w:tcW w:w="1021" w:type="dxa"/>
            <w:tcBorders/>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Date:</w:t>
            </w:r>
          </w:p>
        </w:tc>
        <w:tc>
          <w:tcPr>
            <w:tcW w:w="3061" w:type="dxa"/>
            <w:tcBorders/>
            <w:vAlign w:val="center"/>
          </w:tcPr>
          <w:p>
            <w:pPr>
              <w:pStyle w:val="TableContents"/>
              <w:bidi w:val="0"/>
              <w:spacing w:before="0" w:after="0"/>
              <w:ind w:left="0" w:right="0" w:hanging="0"/>
              <w:jc w:val="left"/>
              <w:rPr>
                <w:rFonts w:ascii="Arial;Helvetica;sans-serif" w:hAnsi="Arial;Helvetica;sans-serif"/>
                <w:sz w:val="22"/>
              </w:rPr>
            </w:pPr>
            <w:r>
              <w:rPr>
                <w:rFonts w:ascii="Arial;Helvetica;sans-serif" w:hAnsi="Arial;Helvetica;sans-serif"/>
                <w:sz w:val="22"/>
              </w:rPr>
              <w:t>October 20, 2026</w:t>
            </w:r>
          </w:p>
        </w:tc>
        <w:tc>
          <w:tcPr>
            <w:tcW w:w="3300" w:type="dxa"/>
            <w:gridSpan w:val="2"/>
            <w:tcBorders/>
            <w:vAlign w:val="center"/>
          </w:tcPr>
          <w:p>
            <w:pPr>
              <w:pStyle w:val="TableContents"/>
              <w:bidi w:val="0"/>
              <w:spacing w:before="0" w:after="0"/>
              <w:ind w:left="0" w:right="0" w:hanging="0"/>
              <w:jc w:val="left"/>
              <w:rPr/>
            </w:pPr>
            <w:r>
              <w:rPr/>
              <w:t>​</w:t>
            </w:r>
          </w:p>
        </w:tc>
      </w:tr>
    </w:tbl>
    <w:p>
      <w:pPr>
        <w:pStyle w:val="TextBody"/>
        <w:bidi w:val="0"/>
        <w:spacing w:before="240" w:after="120"/>
        <w:ind w:left="0" w:right="0" w:hanging="0"/>
        <w:jc w:val="center"/>
        <w:rPr>
          <w:rFonts w:ascii="Arial;Helvetica;sans-serif" w:hAnsi="Arial;Helvetica;sans-serif"/>
          <w:b/>
          <w:sz w:val="28"/>
        </w:rPr>
      </w:pPr>
      <w:r>
        <w:rPr>
          <w:rFonts w:ascii="Arial;Helvetica;sans-serif" w:hAnsi="Arial;Helvetica;sans-serif"/>
          <w:b/>
          <w:sz w:val="28"/>
        </w:rPr>
        <w:t>Valmont Reports Third Quarter 2026 Results and Raises Full-Year 2026</w:t>
        <w:br/>
        <w:t xml:space="preserve">Adjusted EPS Guidance </w:t>
      </w:r>
    </w:p>
    <w:p>
      <w:pPr>
        <w:pStyle w:val="TextBody"/>
        <w:bidi w:val="0"/>
        <w:spacing w:before="240" w:after="240"/>
        <w:ind w:left="0" w:right="0" w:hanging="0"/>
        <w:jc w:val="left"/>
        <w:rPr>
          <w:rFonts w:ascii="Times New Roman;Times;serif" w:hAnsi="Times New Roman;Times;serif"/>
          <w:sz w:val="20"/>
        </w:rPr>
      </w:pPr>
      <w:r>
        <w:rPr>
          <w:rFonts w:ascii="Arial;Helvetica;sans-serif" w:hAnsi="Arial;Helvetica;sans-serif"/>
          <w:sz w:val="22"/>
        </w:rPr>
        <w:t>OMAHA, Neb.-- Valmont</w:t>
      </w:r>
      <w:r>
        <w:rPr>
          <w:rFonts w:ascii="Arial;Helvetica;sans-serif" w:hAnsi="Arial;Helvetica;sans-serif"/>
          <w:sz w:val="17"/>
        </w:rPr>
        <w:t>®</w:t>
      </w:r>
      <w:r>
        <w:rPr>
          <w:rFonts w:ascii="Times New Roman;Times;serif" w:hAnsi="Times New Roman;Times;serif"/>
          <w:sz w:val="20"/>
        </w:rPr>
        <w:t xml:space="preserve"> </w:t>
      </w:r>
      <w:r>
        <w:rPr>
          <w:rFonts w:ascii="Arial;Helvetica;sans-serif" w:hAnsi="Arial;Helvetica;sans-serif"/>
          <w:sz w:val="22"/>
        </w:rPr>
        <w:t>Industries, Inc. (NYSE: VMI), a global leader that provides products and solutions to support vital infrastructure and advance agricultural productivity, today reported financial results for the third quarter ended September 26, 2026.</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President and Chief Executive Officer Avner M. Applbaum commented, “We delivered another quarter of sales and earnings growth. Higher sales in North America Utility and Coatings reinforce our confidence in the strength and durability of the infrastructure market. To support continued infrastructure demand, we are focused on increasing capacity and improving throughput, with a continued focus on reliable delivery and disciplined execution. In Agriculture, we delivered sales growth in North America despite broader market softness. Our focus remains on deepening strategic customer relationships and expanding our higher-value aftermarket and technology solutions, positioning the business for stronger growth as market conditions improve.</w:t>
      </w:r>
    </w:p>
    <w:p>
      <w:pPr>
        <w:pStyle w:val="TextBody"/>
        <w:bidi w:val="0"/>
        <w:spacing w:before="280" w:after="0"/>
        <w:ind w:left="0" w:right="0" w:hanging="0"/>
        <w:jc w:val="left"/>
        <w:rPr/>
      </w:pPr>
      <w:r>
        <w:rPr/>
        <w:t>“</w:t>
      </w:r>
      <w:r>
        <w:rPr>
          <w:rFonts w:ascii="Arial;Helvetica;sans-serif" w:hAnsi="Arial;Helvetica;sans-serif"/>
          <w:sz w:val="22"/>
        </w:rPr>
        <w:t xml:space="preserve">Given our results, we are raising our adjusted earnings per share guidance range. As we finish 2026 and prepare for 2027, we are focused on turning our capacity investments into higher throughput and improved productivity across the Infrastructure segment. At the same time, we are taking pricing actions and applying contractual pass-throughs to recover higher steel and zinc costs. The pace of margin expansion depends in part on how quickly input costs stabilize. Strong customer demand in Utility and Coatings, together with our investments and operating improvements across Infrastructure and Agriculture support our confidence in the objectives presented at our 2026 Investor Day.” </w:t>
      </w:r>
    </w:p>
    <w:p>
      <w:pPr>
        <w:pStyle w:val="TextBody"/>
        <w:bidi w:val="0"/>
        <w:spacing w:before="280" w:after="240"/>
        <w:ind w:left="0" w:right="0" w:hanging="0"/>
        <w:jc w:val="left"/>
        <w:rPr>
          <w:rFonts w:ascii="Times New Roman;Times;serif" w:hAnsi="Times New Roman;Times;serif"/>
          <w:sz w:val="20"/>
        </w:rPr>
      </w:pPr>
      <w:r>
        <w:rPr>
          <w:rFonts w:ascii="Arial;Helvetica;sans-serif" w:hAnsi="Arial;Helvetica;sans-serif"/>
          <w:b/>
          <w:sz w:val="22"/>
        </w:rPr>
        <w:t>Third</w:t>
      </w:r>
      <w:r>
        <w:rPr>
          <w:rFonts w:ascii="Times New Roman;Times;serif" w:hAnsi="Times New Roman;Times;serif"/>
          <w:sz w:val="20"/>
        </w:rPr>
        <w:t xml:space="preserve"> </w:t>
      </w:r>
      <w:r>
        <w:rPr>
          <w:rFonts w:ascii="Arial;Helvetica;sans-serif" w:hAnsi="Arial;Helvetica;sans-serif"/>
          <w:b/>
          <w:sz w:val="22"/>
        </w:rPr>
        <w:t>Quarter 2026 Highlights</w:t>
      </w:r>
      <w:r>
        <w:rPr>
          <w:rFonts w:ascii="Times New Roman;Times;serif" w:hAnsi="Times New Roman;Times;serif"/>
          <w:sz w:val="20"/>
        </w:rPr>
        <w:t xml:space="preserve"> </w:t>
      </w:r>
      <w:r>
        <w:rPr>
          <w:rFonts w:ascii="Arial;Helvetica;sans-serif" w:hAnsi="Arial;Helvetica;sans-serif"/>
          <w:i/>
          <w:sz w:val="22"/>
        </w:rPr>
        <w:t>(all metrics compared to Third Quarter 2025 unless otherwise noted)</w:t>
      </w:r>
    </w:p>
    <w:tbl>
      <w:tblPr>
        <w:tblW w:w="6670" w:type="dxa"/>
        <w:jc w:val="left"/>
        <w:tblInd w:w="0" w:type="dxa"/>
        <w:tblLayout w:type="fixed"/>
        <w:tblCellMar>
          <w:top w:w="0" w:type="dxa"/>
          <w:left w:w="0" w:type="dxa"/>
          <w:bottom w:w="0" w:type="dxa"/>
          <w:right w:w="0" w:type="dxa"/>
        </w:tblCellMar>
      </w:tblPr>
      <w:tblGrid>
        <w:gridCol w:w="170"/>
        <w:gridCol w:w="6500"/>
      </w:tblGrid>
      <w:tr>
        <w:trPr/>
        <w:tc>
          <w:tcPr>
            <w:tcW w:w="17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Net sales increased 5.5% to $1.10 billion, compared to $1.05 billion</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Operating income increased 22.2% to $172.8 million or 15.7% of net sales, compared to $141.5 million or 13.5% of net sales</w:t>
            </w:r>
          </w:p>
        </w:tc>
      </w:tr>
    </w:tbl>
    <w:tbl>
      <w:tblPr>
        <w:tblW w:w="7225" w:type="dxa"/>
        <w:jc w:val="left"/>
        <w:tblInd w:w="0" w:type="dxa"/>
        <w:tblLayout w:type="fixed"/>
        <w:tblCellMar>
          <w:top w:w="0" w:type="dxa"/>
          <w:left w:w="0" w:type="dxa"/>
          <w:bottom w:w="0" w:type="dxa"/>
          <w:right w:w="0" w:type="dxa"/>
        </w:tblCellMar>
      </w:tblPr>
      <w:tblGrid>
        <w:gridCol w:w="170"/>
        <w:gridCol w:w="7055"/>
      </w:tblGrid>
      <w:tr>
        <w:trPr/>
        <w:tc>
          <w:tcPr>
            <w:tcW w:w="17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Diluted earnings per share increased 25.3% to $6.24, compared to $4.98</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2"/>
              </w:rPr>
              <w:t>Generated operating cash flow of $100.5 million; cash and cash equivalents were $122.0 million and net leverage ratio</w:t>
            </w:r>
            <w:r>
              <w:rPr>
                <w:rFonts w:ascii="Arial;Helvetica;sans-serif" w:hAnsi="Arial;Helvetica;sans-serif"/>
                <w:b w:val="false"/>
                <w:i w:val="false"/>
                <w:caps w:val="false"/>
                <w:smallCaps w:val="false"/>
                <w:sz w:val="17"/>
              </w:rPr>
              <w:t>1</w:t>
            </w:r>
            <w:r>
              <w:rPr>
                <w:caps w:val="false"/>
                <w:smallCaps w:val="false"/>
              </w:rPr>
              <w:t xml:space="preserve"> </w:t>
            </w:r>
            <w:r>
              <w:rPr>
                <w:rFonts w:ascii="Arial;Helvetica;sans-serif" w:hAnsi="Arial;Helvetica;sans-serif"/>
                <w:b w:val="false"/>
                <w:i w:val="false"/>
                <w:caps w:val="false"/>
                <w:smallCaps w:val="false"/>
                <w:sz w:val="22"/>
              </w:rPr>
              <w:t>was ~0.9x</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Returned $97.2 million to shareholders through $82.3 million in share repurchases and $14.9 million in dividends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Invested $45.6 million in capital expenditures to primarily support growth-related capacity expansion in the North America Utility product line</w:t>
            </w:r>
          </w:p>
        </w:tc>
      </w:tr>
    </w:tbl>
    <w:p>
      <w:pPr>
        <w:pStyle w:val="TextBody"/>
        <w:bidi w:val="0"/>
        <w:spacing w:before="0" w:after="0"/>
        <w:ind w:left="0" w:right="0" w:hanging="0"/>
        <w:jc w:val="left"/>
        <w:rPr>
          <w:rFonts w:ascii="Times New Roman;Times;serif" w:hAnsi="Times New Roman;Times;serif"/>
          <w:sz w:val="16"/>
        </w:rPr>
      </w:pPr>
      <w:r>
        <w:rPr>
          <w:rFonts w:ascii="Arial;Helvetica;sans-serif" w:hAnsi="Arial;Helvetica;sans-serif"/>
          <w:sz w:val="12"/>
        </w:rPr>
        <w:t>1</w:t>
      </w:r>
      <w:r>
        <w:rPr>
          <w:rFonts w:ascii="Arial;Helvetica;sans-serif" w:hAnsi="Arial;Helvetica;sans-serif"/>
          <w:sz w:val="16"/>
        </w:rPr>
        <w:t>Please see Reg G reconciliation to GAAP measures at end of document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Arial;Helvetica;sans-serif" w:hAnsi="Arial;Helvetica;sans-serif"/>
          <w:b/>
          <w:sz w:val="22"/>
        </w:rPr>
      </w:pPr>
      <w:r>
        <w:rPr>
          <w:rFonts w:ascii="Arial;Helvetica;sans-serif" w:hAnsi="Arial;Helvetica;sans-serif"/>
          <w:b/>
          <w:sz w:val="22"/>
        </w:rPr>
        <w:t>Key Financial Metrics</w:t>
      </w:r>
    </w:p>
    <w:tbl>
      <w:tblPr>
        <w:tblW w:w="10205" w:type="dxa"/>
        <w:jc w:val="left"/>
        <w:tblInd w:w="0" w:type="dxa"/>
        <w:tblLayout w:type="fixed"/>
        <w:tblCellMar>
          <w:top w:w="0" w:type="dxa"/>
          <w:left w:w="0" w:type="dxa"/>
          <w:bottom w:w="0" w:type="dxa"/>
          <w:right w:w="0" w:type="dxa"/>
        </w:tblCellMar>
      </w:tblPr>
      <w:tblGrid>
        <w:gridCol w:w="2154"/>
        <w:gridCol w:w="346"/>
        <w:gridCol w:w="196"/>
        <w:gridCol w:w="826"/>
        <w:gridCol w:w="346"/>
        <w:gridCol w:w="196"/>
        <w:gridCol w:w="826"/>
        <w:gridCol w:w="346"/>
        <w:gridCol w:w="876"/>
        <w:gridCol w:w="346"/>
        <w:gridCol w:w="109"/>
        <w:gridCol w:w="196"/>
        <w:gridCol w:w="826"/>
        <w:gridCol w:w="346"/>
        <w:gridCol w:w="196"/>
        <w:gridCol w:w="826"/>
        <w:gridCol w:w="346"/>
        <w:gridCol w:w="747"/>
        <w:gridCol w:w="155"/>
      </w:tblGrid>
      <w:tr>
        <w:trPr/>
        <w:tc>
          <w:tcPr>
            <w:tcW w:w="21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154" w:type="dxa"/>
            <w:tcBorders>
              <w:top w:val="single" w:sz="2" w:space="0" w:color="000000"/>
              <w:left w:val="single" w:sz="2" w:space="0" w:color="000000"/>
            </w:tcBorders>
            <w:tcMar>
              <w:top w:w="28" w:type="dxa"/>
              <w:left w:w="28" w:type="dxa"/>
            </w:tcMar>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Third Quarter 2026</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612" w:type="dxa"/>
            <w:gridSpan w:val="7"/>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GAAP</w:t>
            </w:r>
          </w:p>
        </w:tc>
        <w:tc>
          <w:tcPr>
            <w:tcW w:w="346" w:type="dxa"/>
            <w:tcBorders>
              <w:top w:val="single" w:sz="2" w:space="0" w:color="000000"/>
              <w:right w:val="single" w:sz="2" w:space="0" w:color="000000"/>
            </w:tcBorders>
            <w:tcMar>
              <w:top w:w="28" w:type="dxa"/>
              <w:right w:w="28" w:type="dxa"/>
            </w:tcMar>
            <w:vAlign w:val="center"/>
          </w:tcPr>
          <w:p>
            <w:pPr>
              <w:pStyle w:val="TableContents"/>
              <w:bidi w:val="0"/>
              <w:spacing w:before="0" w:after="0"/>
              <w:ind w:left="0" w:right="0" w:hanging="0"/>
              <w:jc w:val="left"/>
              <w:rPr/>
            </w:pPr>
            <w:r>
              <w:rPr/>
              <w:t>​</w:t>
            </w:r>
          </w:p>
        </w:tc>
        <w:tc>
          <w:tcPr>
            <w:tcW w:w="3592"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Arial;Helvetica;sans-serif" w:hAnsi="Arial;Helvetica;sans-serif"/>
                <w:b/>
                <w:sz w:val="16"/>
              </w:rPr>
              <w:t>Adjusted</w:t>
            </w:r>
            <w:r>
              <w:rPr>
                <w:rFonts w:ascii="Arial;Helvetica;sans-serif" w:hAnsi="Arial;Helvetica;sans-serif"/>
                <w:b/>
                <w:sz w:val="12"/>
              </w:rPr>
              <w:t>1</w:t>
            </w:r>
          </w:p>
        </w:tc>
        <w:tc>
          <w:tcPr>
            <w:tcW w:w="155" w:type="dxa"/>
            <w:tcBorders>
              <w:top w:val="single" w:sz="2" w:space="0" w:color="000000"/>
              <w:right w:val="single" w:sz="2" w:space="0" w:color="000000"/>
            </w:tcBorders>
            <w:tcMar>
              <w:top w:w="28" w:type="dxa"/>
              <w:right w:w="28" w:type="dxa"/>
            </w:tcMar>
            <w:vAlign w:val="center"/>
          </w:tcPr>
          <w:p>
            <w:pPr>
              <w:pStyle w:val="TableContents"/>
              <w:bidi w:val="0"/>
              <w:spacing w:before="0" w:after="0"/>
              <w:ind w:left="0" w:right="0" w:hanging="0"/>
              <w:jc w:val="left"/>
              <w:rPr/>
            </w:pPr>
            <w:r>
              <w:rPr/>
              <w:t>​</w:t>
            </w:r>
          </w:p>
        </w:tc>
      </w:tr>
      <w:tr>
        <w:trPr/>
        <w:tc>
          <w:tcPr>
            <w:tcW w:w="2154"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 except per-share amounts)</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9/26/2026</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9/27/2025</w:t>
            </w:r>
          </w:p>
        </w:tc>
        <w:tc>
          <w:tcPr>
            <w:tcW w:w="346" w:type="dxa"/>
            <w:tcBorders/>
            <w:vAlign w:val="center"/>
          </w:tcPr>
          <w:p>
            <w:pPr>
              <w:pStyle w:val="TableContents"/>
              <w:bidi w:val="0"/>
              <w:spacing w:before="0" w:after="0"/>
              <w:ind w:left="0" w:right="0" w:hanging="0"/>
              <w:jc w:val="right"/>
              <w:rPr/>
            </w:pPr>
            <w:r>
              <w:rPr/>
              <w:t>  ​ ​ ​</w:t>
            </w:r>
          </w:p>
        </w:tc>
        <w:tc>
          <w:tcPr>
            <w:tcW w:w="876"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  ​ ​ ​</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9/26/2026</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9/27/2025</w:t>
            </w:r>
          </w:p>
        </w:tc>
        <w:tc>
          <w:tcPr>
            <w:tcW w:w="346" w:type="dxa"/>
            <w:tcBorders/>
            <w:vAlign w:val="center"/>
          </w:tcPr>
          <w:p>
            <w:pPr>
              <w:pStyle w:val="TableContents"/>
              <w:bidi w:val="0"/>
              <w:spacing w:before="0" w:after="0"/>
              <w:ind w:left="0" w:right="0" w:hanging="0"/>
              <w:jc w:val="left"/>
              <w:rPr/>
            </w:pPr>
            <w:r>
              <w:rPr/>
              <w:t>  ​ ​ ​</w:t>
            </w:r>
          </w:p>
        </w:tc>
        <w:tc>
          <w:tcPr>
            <w:tcW w:w="747" w:type="dxa"/>
            <w:tcBorders/>
            <w:vAlign w:val="center"/>
          </w:tcPr>
          <w:p>
            <w:pPr>
              <w:pStyle w:val="TableContents"/>
              <w:bidi w:val="0"/>
              <w:spacing w:before="0" w:after="0"/>
              <w:ind w:left="0" w:right="0" w:hanging="0"/>
              <w:jc w:val="center"/>
              <w:rPr/>
            </w:pPr>
            <w:r>
              <w:rPr/>
              <w:t>​</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54"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Q3 2026</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Q3 2025</w:t>
            </w:r>
          </w:p>
        </w:tc>
        <w:tc>
          <w:tcPr>
            <w:tcW w:w="346" w:type="dxa"/>
            <w:tcBorders/>
            <w:vAlign w:val="center"/>
          </w:tcPr>
          <w:p>
            <w:pPr>
              <w:pStyle w:val="TableContents"/>
              <w:bidi w:val="0"/>
              <w:spacing w:before="0" w:after="0"/>
              <w:ind w:left="0" w:right="0" w:hanging="0"/>
              <w:jc w:val="right"/>
              <w:rPr/>
            </w:pPr>
            <w:r>
              <w:rPr/>
              <w:t>​</w:t>
            </w:r>
          </w:p>
        </w:tc>
        <w:tc>
          <w:tcPr>
            <w:tcW w:w="8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vs. Q3 2025</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Q3 2026</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Q3 2025</w:t>
            </w:r>
          </w:p>
        </w:tc>
        <w:tc>
          <w:tcPr>
            <w:tcW w:w="346"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vs. Q3 2025</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54"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1,103,801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1,045,980</w:t>
            </w:r>
          </w:p>
        </w:tc>
        <w:tc>
          <w:tcPr>
            <w:tcW w:w="34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5.5%</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1,103,801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1,045,980</w:t>
            </w:r>
          </w:p>
        </w:tc>
        <w:tc>
          <w:tcPr>
            <w:tcW w:w="346"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5.5%</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54"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Gross Profit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331,384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318,246</w:t>
            </w:r>
          </w:p>
        </w:tc>
        <w:tc>
          <w:tcPr>
            <w:tcW w:w="34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4.1%</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331,384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318,246</w:t>
            </w:r>
          </w:p>
        </w:tc>
        <w:tc>
          <w:tcPr>
            <w:tcW w:w="346"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4.1%</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54"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Gross Profit as a % of Net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30.4%</w:t>
            </w:r>
          </w:p>
        </w:tc>
        <w:tc>
          <w:tcPr>
            <w:tcW w:w="34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center"/>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30.4%</w:t>
            </w:r>
          </w:p>
        </w:tc>
        <w:tc>
          <w:tcPr>
            <w:tcW w:w="346"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54"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Operating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172,834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141,456</w:t>
            </w:r>
          </w:p>
        </w:tc>
        <w:tc>
          <w:tcPr>
            <w:tcW w:w="34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22.2%</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172,834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141,456</w:t>
            </w:r>
          </w:p>
        </w:tc>
        <w:tc>
          <w:tcPr>
            <w:tcW w:w="346"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22.2%</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54"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Operating Income as a % of Net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13.5%</w:t>
            </w:r>
          </w:p>
        </w:tc>
        <w:tc>
          <w:tcPr>
            <w:tcW w:w="34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center"/>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13.5%</w:t>
            </w:r>
          </w:p>
        </w:tc>
        <w:tc>
          <w:tcPr>
            <w:tcW w:w="346"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54"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Earnings Attributable to VMI</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121,053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99,031</w:t>
            </w:r>
          </w:p>
        </w:tc>
        <w:tc>
          <w:tcPr>
            <w:tcW w:w="34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22.2%</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121,053</w:t>
            </w:r>
          </w:p>
        </w:tc>
        <w:tc>
          <w:tcPr>
            <w:tcW w:w="34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99,031</w:t>
            </w:r>
          </w:p>
        </w:tc>
        <w:tc>
          <w:tcPr>
            <w:tcW w:w="346"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22.2%</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54"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Diluted Earnings per Share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4.98</w:t>
            </w:r>
          </w:p>
        </w:tc>
        <w:tc>
          <w:tcPr>
            <w:tcW w:w="346"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25.3%</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4.98</w:t>
            </w:r>
          </w:p>
        </w:tc>
        <w:tc>
          <w:tcPr>
            <w:tcW w:w="346"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25.3%</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54"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Weighted Average Shares Outstanding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19,391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19,876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4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19,391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19,876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55"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72"/>
        <w:gridCol w:w="346"/>
        <w:gridCol w:w="196"/>
        <w:gridCol w:w="826"/>
        <w:gridCol w:w="346"/>
        <w:gridCol w:w="196"/>
        <w:gridCol w:w="826"/>
        <w:gridCol w:w="346"/>
        <w:gridCol w:w="873"/>
        <w:gridCol w:w="346"/>
        <w:gridCol w:w="109"/>
        <w:gridCol w:w="196"/>
        <w:gridCol w:w="826"/>
        <w:gridCol w:w="346"/>
        <w:gridCol w:w="196"/>
        <w:gridCol w:w="826"/>
        <w:gridCol w:w="346"/>
        <w:gridCol w:w="732"/>
        <w:gridCol w:w="155"/>
      </w:tblGrid>
      <w:tr>
        <w:trPr/>
        <w:tc>
          <w:tcPr>
            <w:tcW w:w="21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10"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2172" w:type="dxa"/>
            <w:tcBorders>
              <w:top w:val="single" w:sz="2" w:space="0" w:color="000000"/>
              <w:left w:val="single" w:sz="2" w:space="0" w:color="000000"/>
            </w:tcBorders>
            <w:tcMar>
              <w:top w:w="28" w:type="dxa"/>
              <w:left w:w="28" w:type="dxa"/>
            </w:tcMar>
            <w:vAlign w:val="center"/>
          </w:tcPr>
          <w:p>
            <w:pPr>
              <w:pStyle w:val="TableContents"/>
              <w:bidi w:val="0"/>
              <w:spacing w:before="0" w:after="0"/>
              <w:ind w:left="0" w:right="0" w:hanging="0"/>
              <w:jc w:val="left"/>
              <w:rPr>
                <w:rFonts w:ascii="Arial;Helvetica;sans-serif" w:hAnsi="Arial;Helvetica;sans-serif"/>
                <w:b/>
                <w:sz w:val="22"/>
              </w:rPr>
            </w:pPr>
            <w:r>
              <w:rPr>
                <w:rFonts w:ascii="Arial;Helvetica;sans-serif" w:hAnsi="Arial;Helvetica;sans-serif"/>
                <w:b/>
                <w:sz w:val="22"/>
              </w:rPr>
              <w:t>Year-to-Date 2026</w:t>
            </w:r>
          </w:p>
        </w:tc>
        <w:tc>
          <w:tcPr>
            <w:tcW w:w="34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609" w:type="dxa"/>
            <w:gridSpan w:val="7"/>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GAAP</w:t>
            </w:r>
          </w:p>
        </w:tc>
        <w:tc>
          <w:tcPr>
            <w:tcW w:w="346" w:type="dxa"/>
            <w:tcBorders>
              <w:top w:val="single" w:sz="2" w:space="0" w:color="000000"/>
              <w:right w:val="single" w:sz="2" w:space="0" w:color="000000"/>
            </w:tcBorders>
            <w:tcMar>
              <w:top w:w="28" w:type="dxa"/>
              <w:right w:w="28" w:type="dxa"/>
            </w:tcMar>
            <w:vAlign w:val="center"/>
          </w:tcPr>
          <w:p>
            <w:pPr>
              <w:pStyle w:val="TableContents"/>
              <w:bidi w:val="0"/>
              <w:spacing w:before="0" w:after="0"/>
              <w:ind w:left="0" w:right="0" w:hanging="0"/>
              <w:jc w:val="left"/>
              <w:rPr/>
            </w:pPr>
            <w:r>
              <w:rPr/>
              <w:t>​</w:t>
            </w:r>
          </w:p>
        </w:tc>
        <w:tc>
          <w:tcPr>
            <w:tcW w:w="3577" w:type="dxa"/>
            <w:gridSpan w:val="8"/>
            <w:tcBorders>
              <w:top w:val="single" w:sz="2" w:space="0" w:color="000000"/>
              <w:left w:val="single" w:sz="2" w:space="0" w:color="000000"/>
            </w:tcBorders>
            <w:tcMar>
              <w:top w:w="28" w:type="dxa"/>
              <w:left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Arial;Helvetica;sans-serif" w:hAnsi="Arial;Helvetica;sans-serif"/>
                <w:b/>
                <w:sz w:val="16"/>
              </w:rPr>
              <w:t>Adjusted</w:t>
            </w:r>
            <w:r>
              <w:rPr>
                <w:rFonts w:ascii="Arial;Helvetica;sans-serif" w:hAnsi="Arial;Helvetica;sans-serif"/>
                <w:b/>
                <w:sz w:val="12"/>
              </w:rPr>
              <w:t>1</w:t>
            </w:r>
          </w:p>
        </w:tc>
        <w:tc>
          <w:tcPr>
            <w:tcW w:w="155" w:type="dxa"/>
            <w:tcBorders>
              <w:top w:val="single" w:sz="2" w:space="0" w:color="000000"/>
              <w:right w:val="single" w:sz="2" w:space="0" w:color="000000"/>
            </w:tcBorders>
            <w:tcMar>
              <w:top w:w="28" w:type="dxa"/>
              <w:right w:w="28" w:type="dxa"/>
            </w:tcMar>
            <w:vAlign w:val="center"/>
          </w:tcPr>
          <w:p>
            <w:pPr>
              <w:pStyle w:val="TableContents"/>
              <w:bidi w:val="0"/>
              <w:spacing w:before="0" w:after="0"/>
              <w:ind w:left="0" w:right="0" w:hanging="0"/>
              <w:jc w:val="left"/>
              <w:rPr/>
            </w:pPr>
            <w:r>
              <w:rPr/>
              <w:t>​</w:t>
            </w:r>
          </w:p>
        </w:tc>
      </w:tr>
      <w:tr>
        <w:trPr/>
        <w:tc>
          <w:tcPr>
            <w:tcW w:w="2172"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 thousands, except per-share amounts)</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9/26/2026</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9/27/2025</w:t>
            </w:r>
          </w:p>
        </w:tc>
        <w:tc>
          <w:tcPr>
            <w:tcW w:w="346" w:type="dxa"/>
            <w:tcBorders/>
            <w:vAlign w:val="center"/>
          </w:tcPr>
          <w:p>
            <w:pPr>
              <w:pStyle w:val="TableContents"/>
              <w:bidi w:val="0"/>
              <w:spacing w:before="0" w:after="0"/>
              <w:ind w:left="0" w:right="0" w:hanging="0"/>
              <w:jc w:val="left"/>
              <w:rPr/>
            </w:pPr>
            <w:r>
              <w:rPr/>
              <w:t>  ​ ​ ​</w:t>
            </w:r>
          </w:p>
        </w:tc>
        <w:tc>
          <w:tcPr>
            <w:tcW w:w="873" w:type="dxa"/>
            <w:tcBorders/>
            <w:vAlign w:val="center"/>
          </w:tcPr>
          <w:p>
            <w:pPr>
              <w:pStyle w:val="TableContents"/>
              <w:bidi w:val="0"/>
              <w:spacing w:before="0" w:after="0"/>
              <w:ind w:left="0" w:right="0" w:hanging="0"/>
              <w:jc w:val="right"/>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  ​ ​ ​</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9/26/2026</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9/27/2025</w:t>
            </w:r>
          </w:p>
        </w:tc>
        <w:tc>
          <w:tcPr>
            <w:tcW w:w="346" w:type="dxa"/>
            <w:tcBorders/>
            <w:vAlign w:val="center"/>
          </w:tcPr>
          <w:p>
            <w:pPr>
              <w:pStyle w:val="TableContents"/>
              <w:bidi w:val="0"/>
              <w:spacing w:before="0" w:after="0"/>
              <w:ind w:left="0" w:right="0" w:hanging="0"/>
              <w:jc w:val="left"/>
              <w:rPr/>
            </w:pPr>
            <w:r>
              <w:rPr/>
              <w:t>  ​ ​ ​</w:t>
            </w:r>
          </w:p>
        </w:tc>
        <w:tc>
          <w:tcPr>
            <w:tcW w:w="732" w:type="dxa"/>
            <w:tcBorders/>
            <w:vAlign w:val="center"/>
          </w:tcPr>
          <w:p>
            <w:pPr>
              <w:pStyle w:val="TableContents"/>
              <w:bidi w:val="0"/>
              <w:spacing w:before="0" w:after="0"/>
              <w:ind w:left="0" w:right="0" w:hanging="0"/>
              <w:jc w:val="right"/>
              <w:rPr/>
            </w:pPr>
            <w:r>
              <w:rPr/>
              <w:t>​</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72"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YTD 2026</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YTD 2025</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vs. YTD 2025</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YTD 2026</w:t>
            </w:r>
          </w:p>
        </w:tc>
        <w:tc>
          <w:tcPr>
            <w:tcW w:w="346" w:type="dxa"/>
            <w:tcBorders/>
            <w:vAlign w:val="center"/>
          </w:tcPr>
          <w:p>
            <w:pPr>
              <w:pStyle w:val="TableContents"/>
              <w:bidi w:val="0"/>
              <w:spacing w:before="0" w:after="0"/>
              <w:ind w:left="0" w:right="0" w:hanging="0"/>
              <w:jc w:val="left"/>
              <w:rPr/>
            </w:pPr>
            <w:r>
              <w:rPr/>
              <w:t>​</w:t>
            </w:r>
          </w:p>
        </w:tc>
        <w:tc>
          <w:tcPr>
            <w:tcW w:w="1022"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YTD 2025</w:t>
            </w:r>
          </w:p>
        </w:tc>
        <w:tc>
          <w:tcPr>
            <w:tcW w:w="34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vs. YTD 2025</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72"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3,251,687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3,065,842</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6.1%</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3,251,687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3,065,842</w:t>
            </w:r>
          </w:p>
        </w:tc>
        <w:tc>
          <w:tcPr>
            <w:tcW w:w="34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6.1%</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72"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Gross Profit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989,079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930,515</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6.3%</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989,079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932,109</w:t>
            </w:r>
          </w:p>
        </w:tc>
        <w:tc>
          <w:tcPr>
            <w:tcW w:w="34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6.1%</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72"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Gross Profit as a % of Net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30.4%</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30.4%</w:t>
            </w:r>
          </w:p>
        </w:tc>
        <w:tc>
          <w:tcPr>
            <w:tcW w:w="34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center"/>
              <w:rPr/>
            </w:pPr>
            <w:r>
              <w:rPr/>
              <w:t>​</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72"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Operating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494,571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299,046</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65.4%</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494,571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411,126</w:t>
            </w:r>
          </w:p>
        </w:tc>
        <w:tc>
          <w:tcPr>
            <w:tcW w:w="34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20.3%</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72"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Operating Income as a % of Net Sales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pPr>
            <w:r>
              <w:rPr/>
              <w:t>​</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13.4%</w:t>
            </w:r>
          </w:p>
        </w:tc>
        <w:tc>
          <w:tcPr>
            <w:tcW w:w="34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center"/>
              <w:rPr/>
            </w:pPr>
            <w:r>
              <w:rPr/>
              <w:t>  ​</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72"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6"/>
              </w:rPr>
              <w:t>Net Earnings Attributable to VMI</w:t>
            </w:r>
            <w:r>
              <w:rPr>
                <w:rFonts w:ascii="Arial;Helvetica;sans-serif" w:hAnsi="Arial;Helvetica;sans-serif"/>
                <w:sz w:val="12"/>
              </w:rPr>
              <w:t>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349,004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156,029</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123.7%</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349,004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283,490</w:t>
            </w:r>
          </w:p>
        </w:tc>
        <w:tc>
          <w:tcPr>
            <w:tcW w:w="34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23.1%</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72" w:type="dxa"/>
            <w:tcBorders>
              <w:left w:val="single" w:sz="2" w:space="0" w:color="000000"/>
            </w:tcBorders>
            <w:tcMar>
              <w:left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Diluted Earnings per Share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17.88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7.80</w:t>
            </w:r>
          </w:p>
        </w:tc>
        <w:tc>
          <w:tcPr>
            <w:tcW w:w="346"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129.2%</w:t>
            </w:r>
          </w:p>
        </w:tc>
        <w:tc>
          <w:tcPr>
            <w:tcW w:w="34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17.88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14.17</w:t>
            </w:r>
          </w:p>
        </w:tc>
        <w:tc>
          <w:tcPr>
            <w:tcW w:w="346"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26.2%</w:t>
            </w:r>
          </w:p>
        </w:tc>
        <w:tc>
          <w:tcPr>
            <w:tcW w:w="155"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r>
      <w:tr>
        <w:trPr/>
        <w:tc>
          <w:tcPr>
            <w:tcW w:w="2172"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Weighted Average Shares Outstanding</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19,516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20,001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46"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19,516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20,001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55"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120" w:after="0"/>
        <w:ind w:left="0" w:right="0" w:hanging="0"/>
        <w:jc w:val="left"/>
        <w:rPr>
          <w:rFonts w:ascii="Times New Roman;Times;serif" w:hAnsi="Times New Roman;Times;serif"/>
          <w:sz w:val="18"/>
        </w:rPr>
      </w:pPr>
      <w:r>
        <w:rPr>
          <w:rFonts w:ascii="Arial;Helvetica;sans-serif" w:hAnsi="Arial;Helvetica;sans-serif"/>
          <w:sz w:val="14"/>
          <w:shd w:fill="FFFFFF" w:val="clear"/>
        </w:rPr>
        <w:t>2</w:t>
      </w:r>
      <w:r>
        <w:rPr>
          <w:rFonts w:ascii="Arial;Helvetica;sans-serif" w:hAnsi="Arial;Helvetica;sans-serif"/>
          <w:sz w:val="18"/>
          <w:shd w:fill="FFFFFF" w:val="clear"/>
        </w:rPr>
        <w:t xml:space="preserve">Fiscal 2025 net earnings attributable to </w:t>
      </w:r>
      <w:r>
        <w:rPr>
          <w:rFonts w:ascii="Arial;Helvetica;sans-serif" w:hAnsi="Arial;Helvetica;sans-serif"/>
          <w:sz w:val="18"/>
        </w:rPr>
        <w:t>Valmont Industries, Inc.</w:t>
      </w:r>
      <w:r>
        <w:rPr>
          <w:rFonts w:ascii="Times New Roman;Times;serif" w:hAnsi="Times New Roman;Times;serif"/>
          <w:sz w:val="18"/>
          <w:shd w:fill="FFFFFF" w:val="clear"/>
        </w:rPr>
        <w:t xml:space="preserve"> </w:t>
      </w:r>
      <w:r>
        <w:rPr>
          <w:rFonts w:ascii="Arial;Helvetica;sans-serif" w:hAnsi="Arial;Helvetica;sans-serif"/>
          <w:sz w:val="18"/>
          <w:shd w:fill="FFFFFF" w:val="clear"/>
        </w:rPr>
        <w:t>including a change in redemption value of redeemable noncontrolling interests of $26,243</w:t>
      </w:r>
    </w:p>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Arial;Helvetica;sans-serif" w:hAnsi="Arial;Helvetica;sans-serif"/>
          <w:b/>
          <w:sz w:val="22"/>
        </w:rPr>
        <w:t xml:space="preserve">Third Quarter 2026 Segment Review </w:t>
      </w:r>
      <w:r>
        <w:rPr>
          <w:rFonts w:ascii="Arial;Helvetica;sans-serif" w:hAnsi="Arial;Helvetica;sans-serif"/>
          <w:i/>
          <w:sz w:val="22"/>
        </w:rPr>
        <w:t>(all metrics compared to Third Quarter 2025 unless otherwise noted)</w:t>
      </w:r>
    </w:p>
    <w:p>
      <w:pPr>
        <w:pStyle w:val="TextBody"/>
        <w:bidi w:val="0"/>
        <w:spacing w:before="0" w:after="60"/>
        <w:ind w:left="0" w:right="0" w:hanging="0"/>
        <w:jc w:val="left"/>
        <w:rPr>
          <w:rFonts w:ascii="Times New Roman;Times;serif" w:hAnsi="Times New Roman;Times;serif"/>
          <w:sz w:val="20"/>
        </w:rPr>
      </w:pPr>
      <w:r>
        <w:rPr>
          <w:rFonts w:ascii="Arial;Helvetica;sans-serif" w:hAnsi="Arial;Helvetica;sans-serif"/>
          <w:b/>
          <w:sz w:val="22"/>
        </w:rPr>
        <w:t>Infrastructure</w:t>
      </w:r>
      <w:r>
        <w:rPr>
          <w:rFonts w:ascii="Times New Roman;Times;serif" w:hAnsi="Times New Roman;Times;serif"/>
          <w:sz w:val="20"/>
        </w:rPr>
        <w:t xml:space="preserve"> </w:t>
      </w:r>
      <w:r>
        <w:rPr>
          <w:rFonts w:ascii="Arial;Helvetica;sans-serif" w:hAnsi="Arial;Helvetica;sans-serif"/>
          <w:i/>
          <w:sz w:val="22"/>
        </w:rPr>
        <w:t>(79.7% of Net Sales)</w:t>
      </w:r>
    </w:p>
    <w:p>
      <w:pPr>
        <w:pStyle w:val="TextBody"/>
        <w:bidi w:val="0"/>
        <w:spacing w:before="0" w:after="240"/>
        <w:ind w:left="0" w:right="0" w:hanging="0"/>
        <w:jc w:val="left"/>
        <w:rPr>
          <w:rFonts w:ascii="Arial;Helvetica;sans-serif" w:hAnsi="Arial;Helvetica;sans-serif"/>
          <w:i/>
          <w:sz w:val="22"/>
        </w:rPr>
      </w:pPr>
      <w:r>
        <w:rPr>
          <w:rFonts w:ascii="Arial;Helvetica;sans-serif" w:hAnsi="Arial;Helvetica;sans-serif"/>
          <w:i/>
          <w:sz w:val="22"/>
        </w:rPr>
        <w:t>Products and solutions to serve the infrastructure markets of utility, lighting, transportation, and telecommunications, along with coatings services to protect metal products</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Sales increased 9.1% to $882.1 million, compared to $808.3 million.</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North America Utility sales increased 23.0%, driven by higher pricing and volumes, supported by strong market demand. North America Coatings sales grew 13.8%, supported by broader infrastructure demand. International sales increased primarily due to pricing actions and favorable foreign currency impacts. These increases were partially offset by significantly lower volumes in North America Telecommunications, reflecting lower carrier spend as customers shifted capital allocation priorities.</w:t>
      </w:r>
    </w:p>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2"/>
        </w:rPr>
        <w:t>Operating income increased to $154.8</w:t>
      </w:r>
      <w:r>
        <w:rPr>
          <w:rFonts w:ascii="Times New Roman;Times;serif" w:hAnsi="Times New Roman;Times;serif"/>
          <w:sz w:val="20"/>
        </w:rPr>
        <w:t xml:space="preserve"> </w:t>
      </w:r>
      <w:r>
        <w:rPr>
          <w:rFonts w:ascii="Arial;Helvetica;sans-serif" w:hAnsi="Arial;Helvetica;sans-serif"/>
          <w:sz w:val="22"/>
        </w:rPr>
        <w:t xml:space="preserve">million or 17.6% of net sales, compared to $143.4 million or 17.8% of net sales. Higher pricing and volumes in North America Utility and Coatings were partially offset by higher material costs, primarily steel and zinc, costs associated with ramping Utility capacity, and lower North America Telecom volumes. </w:t>
      </w:r>
    </w:p>
    <w:p>
      <w:pPr>
        <w:pStyle w:val="TextBody"/>
        <w:bidi w:val="0"/>
        <w:spacing w:before="0" w:after="60"/>
        <w:ind w:left="0" w:right="0" w:hanging="0"/>
        <w:jc w:val="left"/>
        <w:rPr>
          <w:rFonts w:ascii="Times New Roman;Times;serif" w:hAnsi="Times New Roman;Times;serif"/>
          <w:sz w:val="20"/>
        </w:rPr>
      </w:pPr>
      <w:r>
        <w:rPr>
          <w:rFonts w:ascii="Arial;Helvetica;sans-serif" w:hAnsi="Arial;Helvetica;sans-serif"/>
          <w:b/>
          <w:sz w:val="22"/>
        </w:rPr>
        <w:t>Agriculture</w:t>
      </w:r>
      <w:r>
        <w:rPr>
          <w:rFonts w:ascii="Times New Roman;Times;serif" w:hAnsi="Times New Roman;Times;serif"/>
          <w:sz w:val="20"/>
        </w:rPr>
        <w:t xml:space="preserve"> </w:t>
      </w:r>
      <w:r>
        <w:rPr>
          <w:rFonts w:ascii="Arial;Helvetica;sans-serif" w:hAnsi="Arial;Helvetica;sans-serif"/>
          <w:i/>
          <w:sz w:val="22"/>
        </w:rPr>
        <w:t>(20.3% of Net Sales)</w:t>
      </w:r>
    </w:p>
    <w:p>
      <w:pPr>
        <w:pStyle w:val="TextBody"/>
        <w:bidi w:val="0"/>
        <w:spacing w:before="0" w:after="240"/>
        <w:ind w:left="0" w:right="0" w:hanging="0"/>
        <w:jc w:val="left"/>
        <w:rPr>
          <w:rFonts w:ascii="Arial;Helvetica;sans-serif" w:hAnsi="Arial;Helvetica;sans-serif"/>
          <w:i/>
          <w:sz w:val="22"/>
        </w:rPr>
      </w:pPr>
      <w:r>
        <w:rPr>
          <w:rFonts w:ascii="Arial;Helvetica;sans-serif" w:hAnsi="Arial;Helvetica;sans-serif"/>
          <w:i/>
          <w:sz w:val="22"/>
        </w:rPr>
        <w:t>Center pivot and linear irrigation equipment components for agricultural markets, including aftermarket parts and tubular products, and advanced technology solutions for precision agriculture</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Sales decreased 6.4% to $226.0 million, compared to $241.3 million.</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 xml:space="preserve">North America sales increased 15.8%, driven by higher volumes, including storm replacement activity and favorable pricing. International sales decreased 25.3%, primarily due to lower volumes in the Middle East and Brazil. </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Operating income increased to $40.1 million or 17.9% of net sales, compared to $23.2 million or 9.7% of net sales. Lower credit losses in Brazil and higher North America volumes contributed to the year-over-year increase, partially offset by lower international volumes.</w:t>
      </w:r>
    </w:p>
    <w:p>
      <w:pPr>
        <w:pStyle w:val="TextBody"/>
        <w:bidi w:val="0"/>
        <w:spacing w:before="0" w:after="0"/>
        <w:ind w:left="0" w:right="0" w:hanging="0"/>
        <w:jc w:val="left"/>
        <w:rPr>
          <w:rFonts w:ascii="Times New Roman;Times;serif" w:hAnsi="Times New Roman;Times;serif"/>
          <w:sz w:val="16"/>
        </w:rPr>
      </w:pPr>
      <w:r>
        <w:rPr>
          <w:rFonts w:ascii="Arial;Helvetica;sans-serif" w:hAnsi="Arial;Helvetica;sans-serif"/>
          <w:sz w:val="12"/>
        </w:rPr>
        <w:t>1</w:t>
      </w:r>
      <w:r>
        <w:rPr>
          <w:rFonts w:ascii="Arial;Helvetica;sans-serif" w:hAnsi="Arial;Helvetica;sans-serif"/>
          <w:sz w:val="16"/>
        </w:rPr>
        <w:t>Please see Reg G reconciliation to GAAP measures at end of document</w:t>
      </w:r>
    </w:p>
    <w:p>
      <w:pPr>
        <w:pStyle w:val="HorizontalLine"/>
        <w:pBdr>
          <w:bottom w:val="double" w:sz="2" w:space="0" w:color="808080"/>
        </w:pBdr>
        <w:bidi w:val="0"/>
        <w:spacing w:before="0" w:after="283"/>
        <w:jc w:val="left"/>
        <w:rPr/>
      </w:pPr>
      <w:r>
        <w:rPr/>
      </w:r>
    </w:p>
    <w:p>
      <w:pPr>
        <w:pStyle w:val="TextBody"/>
        <w:bidi w:val="0"/>
        <w:spacing w:before="0" w:after="60"/>
        <w:ind w:left="0" w:right="0" w:hanging="0"/>
        <w:jc w:val="left"/>
        <w:rPr>
          <w:rFonts w:ascii="Arial;Helvetica;sans-serif" w:hAnsi="Arial;Helvetica;sans-serif"/>
          <w:b/>
          <w:sz w:val="22"/>
        </w:rPr>
      </w:pPr>
      <w:r>
        <w:rPr>
          <w:rFonts w:ascii="Arial;Helvetica;sans-serif" w:hAnsi="Arial;Helvetica;sans-serif"/>
          <w:b/>
          <w:sz w:val="22"/>
        </w:rPr>
        <w:t>Full-Year 2026 Financial Outlook and Key Assumptions</w:t>
      </w:r>
    </w:p>
    <w:p>
      <w:pPr>
        <w:pStyle w:val="TextBody"/>
        <w:bidi w:val="0"/>
        <w:spacing w:before="0" w:after="240"/>
        <w:ind w:left="0" w:right="0" w:hanging="0"/>
        <w:jc w:val="left"/>
        <w:rPr>
          <w:rFonts w:ascii="Arial;Helvetica;sans-serif" w:hAnsi="Arial;Helvetica;sans-serif"/>
          <w:sz w:val="22"/>
        </w:rPr>
      </w:pPr>
      <w:r>
        <w:rPr>
          <w:rFonts w:ascii="Arial;Helvetica;sans-serif" w:hAnsi="Arial;Helvetica;sans-serif"/>
          <w:sz w:val="22"/>
        </w:rPr>
        <w:t>The Company is reaffirming its full-year 2026 net sales outlook and raising its adjusted diluted EPS outlook. Key assumptions have also been updated.</w:t>
      </w:r>
    </w:p>
    <w:tbl>
      <w:tblPr>
        <w:tblW w:w="7621" w:type="dxa"/>
        <w:jc w:val="left"/>
        <w:tblInd w:w="0" w:type="dxa"/>
        <w:tblLayout w:type="fixed"/>
        <w:tblCellMar>
          <w:top w:w="0" w:type="dxa"/>
          <w:left w:w="0" w:type="dxa"/>
          <w:bottom w:w="0" w:type="dxa"/>
          <w:right w:w="0" w:type="dxa"/>
        </w:tblCellMar>
      </w:tblPr>
      <w:tblGrid>
        <w:gridCol w:w="3661"/>
        <w:gridCol w:w="604"/>
        <w:gridCol w:w="1421"/>
        <w:gridCol w:w="508"/>
        <w:gridCol w:w="1427"/>
      </w:tblGrid>
      <w:tr>
        <w:trPr/>
        <w:tc>
          <w:tcPr>
            <w:tcW w:w="4265" w:type="dxa"/>
            <w:gridSpan w:val="2"/>
            <w:tcBorders/>
            <w:vAlign w:val="center"/>
          </w:tcPr>
          <w:p>
            <w:pPr>
              <w:pStyle w:val="TableContents"/>
              <w:bidi w:val="0"/>
              <w:spacing w:before="0" w:after="283"/>
              <w:ind w:left="0" w:right="0" w:hanging="0"/>
              <w:jc w:val="left"/>
              <w:rPr>
                <w:sz w:val="4"/>
                <w:szCs w:val="4"/>
              </w:rPr>
            </w:pPr>
            <w:r>
              <w:rPr>
                <w:sz w:val="4"/>
                <w:szCs w:val="4"/>
              </w:rPr>
            </w:r>
          </w:p>
        </w:tc>
        <w:tc>
          <w:tcPr>
            <w:tcW w:w="1929" w:type="dxa"/>
            <w:gridSpan w:val="2"/>
            <w:tcBorders/>
            <w:vAlign w:val="center"/>
          </w:tcPr>
          <w:p>
            <w:pPr>
              <w:pStyle w:val="TableContents"/>
              <w:bidi w:val="0"/>
              <w:spacing w:before="0" w:after="283"/>
              <w:ind w:left="0" w:right="0" w:hanging="0"/>
              <w:jc w:val="left"/>
              <w:rPr>
                <w:sz w:val="4"/>
                <w:szCs w:val="4"/>
              </w:rPr>
            </w:pPr>
            <w:r>
              <w:rPr>
                <w:sz w:val="4"/>
                <w:szCs w:val="4"/>
              </w:rPr>
            </w:r>
          </w:p>
        </w:tc>
        <w:tc>
          <w:tcPr>
            <w:tcW w:w="1427" w:type="dxa"/>
            <w:tcBorders/>
            <w:vAlign w:val="center"/>
          </w:tcPr>
          <w:p>
            <w:pPr>
              <w:pStyle w:val="TableContents"/>
              <w:bidi w:val="0"/>
              <w:spacing w:before="0" w:after="283"/>
              <w:ind w:left="0" w:right="0" w:hanging="0"/>
              <w:jc w:val="left"/>
              <w:rPr>
                <w:sz w:val="4"/>
                <w:szCs w:val="4"/>
              </w:rPr>
            </w:pPr>
            <w:r>
              <w:rPr>
                <w:sz w:val="4"/>
                <w:szCs w:val="4"/>
              </w:rPr>
            </w:r>
          </w:p>
        </w:tc>
      </w:tr>
      <w:tr>
        <w:trPr/>
        <w:tc>
          <w:tcPr>
            <w:tcW w:w="36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b/>
                <w:sz w:val="22"/>
              </w:rPr>
            </w:pPr>
            <w:r>
              <w:rPr>
                <w:rFonts w:ascii="Arial;Helvetica;sans-serif" w:hAnsi="Arial;Helvetica;sans-serif"/>
                <w:b/>
                <w:sz w:val="22"/>
              </w:rPr>
              <w:t>Metric</w:t>
            </w:r>
          </w:p>
        </w:tc>
        <w:tc>
          <w:tcPr>
            <w:tcW w:w="202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b/>
                <w:sz w:val="22"/>
              </w:rPr>
            </w:pPr>
            <w:r>
              <w:rPr>
                <w:rFonts w:ascii="Arial;Helvetica;sans-serif" w:hAnsi="Arial;Helvetica;sans-serif"/>
                <w:b/>
                <w:sz w:val="22"/>
              </w:rPr>
              <w:t>Previous Outlook</w:t>
            </w:r>
          </w:p>
        </w:tc>
        <w:tc>
          <w:tcPr>
            <w:tcW w:w="193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b/>
                <w:sz w:val="22"/>
              </w:rPr>
            </w:pPr>
            <w:r>
              <w:rPr>
                <w:rFonts w:ascii="Arial;Helvetica;sans-serif" w:hAnsi="Arial;Helvetica;sans-serif"/>
                <w:b/>
                <w:sz w:val="22"/>
              </w:rPr>
              <w:t>Updated Outlook</w:t>
            </w:r>
          </w:p>
        </w:tc>
      </w:tr>
      <w:tr>
        <w:trPr/>
        <w:tc>
          <w:tcPr>
            <w:tcW w:w="36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Arial;Helvetica;sans-serif" w:hAnsi="Arial;Helvetica;sans-serif"/>
                <w:sz w:val="22"/>
              </w:rPr>
            </w:pPr>
            <w:r>
              <w:rPr>
                <w:rFonts w:ascii="Arial;Helvetica;sans-serif" w:hAnsi="Arial;Helvetica;sans-serif"/>
                <w:sz w:val="22"/>
              </w:rPr>
              <w:t>Net Sales</w:t>
            </w:r>
          </w:p>
        </w:tc>
        <w:tc>
          <w:tcPr>
            <w:tcW w:w="202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$4.3 to $4.45 billion</w:t>
            </w:r>
          </w:p>
        </w:tc>
        <w:tc>
          <w:tcPr>
            <w:tcW w:w="193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No change</w:t>
            </w:r>
          </w:p>
        </w:tc>
      </w:tr>
      <w:tr>
        <w:trPr/>
        <w:tc>
          <w:tcPr>
            <w:tcW w:w="36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Arial;Helvetica;sans-serif" w:hAnsi="Arial;Helvetica;sans-serif"/>
                <w:sz w:val="22"/>
              </w:rPr>
            </w:pPr>
            <w:r>
              <w:rPr>
                <w:rFonts w:ascii="Arial;Helvetica;sans-serif" w:hAnsi="Arial;Helvetica;sans-serif"/>
                <w:sz w:val="22"/>
              </w:rPr>
              <w:t>Infrastructure Net Sales</w:t>
            </w:r>
          </w:p>
        </w:tc>
        <w:tc>
          <w:tcPr>
            <w:tcW w:w="202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$3.4 to $3.5 billion</w:t>
            </w:r>
          </w:p>
        </w:tc>
        <w:tc>
          <w:tcPr>
            <w:tcW w:w="193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No change</w:t>
            </w:r>
          </w:p>
        </w:tc>
      </w:tr>
      <w:tr>
        <w:trPr/>
        <w:tc>
          <w:tcPr>
            <w:tcW w:w="36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Arial;Helvetica;sans-serif" w:hAnsi="Arial;Helvetica;sans-serif"/>
                <w:sz w:val="22"/>
              </w:rPr>
            </w:pPr>
            <w:r>
              <w:rPr>
                <w:rFonts w:ascii="Arial;Helvetica;sans-serif" w:hAnsi="Arial;Helvetica;sans-serif"/>
                <w:sz w:val="22"/>
              </w:rPr>
              <w:t>Agriculture Net Sales</w:t>
            </w:r>
          </w:p>
        </w:tc>
        <w:tc>
          <w:tcPr>
            <w:tcW w:w="202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$0.9 to $0.95 billion</w:t>
            </w:r>
          </w:p>
        </w:tc>
        <w:tc>
          <w:tcPr>
            <w:tcW w:w="193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No change</w:t>
            </w:r>
          </w:p>
        </w:tc>
      </w:tr>
      <w:tr>
        <w:trPr/>
        <w:tc>
          <w:tcPr>
            <w:tcW w:w="36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Arial;Helvetica;sans-serif" w:hAnsi="Arial;Helvetica;sans-serif"/>
                <w:sz w:val="22"/>
              </w:rPr>
            </w:pPr>
            <w:r>
              <w:rPr>
                <w:rFonts w:ascii="Arial;Helvetica;sans-serif" w:hAnsi="Arial;Helvetica;sans-serif"/>
                <w:sz w:val="22"/>
              </w:rPr>
              <w:t>Adjusted Diluted Earnings per Share</w:t>
            </w:r>
          </w:p>
        </w:tc>
        <w:tc>
          <w:tcPr>
            <w:tcW w:w="202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$22.25 to $23.50</w:t>
            </w:r>
          </w:p>
        </w:tc>
        <w:tc>
          <w:tcPr>
            <w:tcW w:w="193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$22.75 to $23.75</w:t>
            </w:r>
          </w:p>
        </w:tc>
      </w:tr>
      <w:tr>
        <w:trPr/>
        <w:tc>
          <w:tcPr>
            <w:tcW w:w="36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Arial;Helvetica;sans-serif" w:hAnsi="Arial;Helvetica;sans-serif"/>
                <w:sz w:val="22"/>
              </w:rPr>
            </w:pPr>
            <w:r>
              <w:rPr>
                <w:rFonts w:ascii="Arial;Helvetica;sans-serif" w:hAnsi="Arial;Helvetica;sans-serif"/>
                <w:sz w:val="22"/>
              </w:rPr>
              <w:t>Capital Expenditures</w:t>
            </w:r>
          </w:p>
        </w:tc>
        <w:tc>
          <w:tcPr>
            <w:tcW w:w="202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$170 to $200 million</w:t>
            </w:r>
          </w:p>
        </w:tc>
        <w:tc>
          <w:tcPr>
            <w:tcW w:w="193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No change</w:t>
            </w:r>
          </w:p>
        </w:tc>
      </w:tr>
      <w:tr>
        <w:trPr/>
        <w:tc>
          <w:tcPr>
            <w:tcW w:w="366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Arial;Helvetica;sans-serif" w:hAnsi="Arial;Helvetica;sans-serif"/>
                <w:sz w:val="22"/>
              </w:rPr>
            </w:pPr>
            <w:r>
              <w:rPr>
                <w:rFonts w:ascii="Arial;Helvetica;sans-serif" w:hAnsi="Arial;Helvetica;sans-serif"/>
                <w:sz w:val="22"/>
              </w:rPr>
              <w:t>Adjusted Effective Tax Rate</w:t>
            </w:r>
          </w:p>
        </w:tc>
        <w:tc>
          <w:tcPr>
            <w:tcW w:w="202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~26.0%</w:t>
            </w:r>
          </w:p>
        </w:tc>
        <w:tc>
          <w:tcPr>
            <w:tcW w:w="1935" w:type="dxa"/>
            <w:gridSpan w:val="2"/>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Arial;Helvetica;sans-serif" w:hAnsi="Arial;Helvetica;sans-serif"/>
                <w:sz w:val="22"/>
              </w:rPr>
            </w:pPr>
            <w:r>
              <w:rPr>
                <w:rFonts w:ascii="Arial;Helvetica;sans-serif" w:hAnsi="Arial;Helvetica;sans-serif"/>
                <w:sz w:val="22"/>
              </w:rPr>
              <w:t>No change</w:t>
            </w:r>
          </w:p>
        </w:tc>
      </w:tr>
    </w:tbl>
    <w:p>
      <w:pPr>
        <w:pStyle w:val="TextBody"/>
        <w:bidi w:val="0"/>
        <w:spacing w:before="240" w:after="60"/>
        <w:ind w:left="0" w:right="0" w:hanging="0"/>
        <w:jc w:val="left"/>
        <w:rPr>
          <w:rFonts w:ascii="Arial;Helvetica;sans-serif" w:hAnsi="Arial;Helvetica;sans-serif"/>
          <w:b/>
          <w:sz w:val="22"/>
        </w:rPr>
      </w:pPr>
      <w:r>
        <w:rPr>
          <w:rFonts w:ascii="Arial;Helvetica;sans-serif" w:hAnsi="Arial;Helvetica;sans-serif"/>
          <w:b/>
          <w:sz w:val="22"/>
        </w:rPr>
        <w:t>Key Assumptions</w:t>
      </w:r>
    </w:p>
    <w:tbl>
      <w:tblPr>
        <w:tblW w:w="7218" w:type="dxa"/>
        <w:jc w:val="left"/>
        <w:tblInd w:w="0" w:type="dxa"/>
        <w:tblLayout w:type="fixed"/>
        <w:tblCellMar>
          <w:top w:w="0" w:type="dxa"/>
          <w:left w:w="0" w:type="dxa"/>
          <w:bottom w:w="0" w:type="dxa"/>
          <w:right w:w="0" w:type="dxa"/>
        </w:tblCellMar>
      </w:tblPr>
      <w:tblGrid>
        <w:gridCol w:w="23"/>
        <w:gridCol w:w="170"/>
        <w:gridCol w:w="70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Steel cost assumptions are aligned with markets as of October 16, 2026</w:t>
            </w:r>
          </w:p>
        </w:tc>
      </w:tr>
    </w:tbl>
    <w:tbl>
      <w:tblPr>
        <w:tblW w:w="7713" w:type="dxa"/>
        <w:jc w:val="left"/>
        <w:tblInd w:w="0" w:type="dxa"/>
        <w:tblLayout w:type="fixed"/>
        <w:tblCellMar>
          <w:top w:w="0" w:type="dxa"/>
          <w:left w:w="0" w:type="dxa"/>
          <w:bottom w:w="0" w:type="dxa"/>
          <w:right w:w="0" w:type="dxa"/>
        </w:tblCellMar>
      </w:tblPr>
      <w:tblGrid>
        <w:gridCol w:w="23"/>
        <w:gridCol w:w="170"/>
        <w:gridCol w:w="75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Foreign currency assumptions are based on FX rates as of October 16, 2026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This outlook includes the current tariffs as of October 16, 2026 and assumes no material change to the current trade or tariff environment</w:t>
            </w:r>
          </w:p>
        </w:tc>
      </w:tr>
    </w:tbl>
    <w:p>
      <w:pPr>
        <w:pStyle w:val="TextBody"/>
        <w:bidi w:val="0"/>
        <w:spacing w:before="0" w:after="240"/>
        <w:ind w:left="0" w:right="0" w:hanging="0"/>
        <w:jc w:val="left"/>
        <w:rPr>
          <w:rFonts w:ascii="Times New Roman;Times;serif" w:hAnsi="Times New Roman;Times;serif"/>
          <w:sz w:val="20"/>
        </w:rPr>
      </w:pPr>
      <w:r>
        <w:rPr>
          <w:rFonts w:ascii="Arial;Helvetica;sans-serif" w:hAnsi="Arial;Helvetica;sans-serif"/>
          <w:sz w:val="22"/>
        </w:rPr>
        <w:t xml:space="preserve">A live audio discussion with Avner M. Applbaum, President and Chief Executive Officer, and John Schwietz, Executive Vice President and Chief Financial Officer, will take place on Tuesday, October 20, 2026 at 8:00 a.m. CT. The discussion can be accessed by telephone at +1 877.407.6184 or +1 201.389.0877 (no Conference ID needed) or via webcast at the following link: </w:t>
      </w:r>
      <w:r>
        <w:rPr>
          <w:rFonts w:ascii="Arial;Helvetica;sans-serif" w:hAnsi="Arial;Helvetica;sans-serif"/>
          <w:color w:val="1F497D"/>
          <w:sz w:val="22"/>
          <w:u w:val="single"/>
        </w:rPr>
        <w:t>Valmont Industries 3Q 2026 Earnings Conference Call.</w:t>
      </w:r>
      <w:r>
        <w:rPr>
          <w:rFonts w:ascii="Times New Roman;Times;serif" w:hAnsi="Times New Roman;Times;serif"/>
          <w:color w:val="1F497D"/>
          <w:sz w:val="20"/>
        </w:rPr>
        <w:t xml:space="preserve"> </w:t>
      </w:r>
      <w:r>
        <w:rPr>
          <w:rFonts w:ascii="Arial;Helvetica;sans-serif" w:hAnsi="Arial;Helvetica;sans-serif"/>
          <w:sz w:val="22"/>
        </w:rPr>
        <w:t xml:space="preserve">A slide presentation will be available for download on the </w:t>
      </w:r>
      <w:r>
        <w:rPr>
          <w:rFonts w:ascii="Arial;Helvetica;sans-serif" w:hAnsi="Arial;Helvetica;sans-serif"/>
          <w:color w:val="1F497D"/>
          <w:sz w:val="22"/>
          <w:u w:val="single"/>
        </w:rPr>
        <w:t>Investors</w:t>
      </w:r>
      <w:r>
        <w:rPr>
          <w:rFonts w:ascii="Times New Roman;Times;serif" w:hAnsi="Times New Roman;Times;serif"/>
          <w:color w:val="1F497D"/>
          <w:sz w:val="20"/>
        </w:rPr>
        <w:t xml:space="preserve"> </w:t>
      </w:r>
      <w:r>
        <w:rPr>
          <w:rFonts w:ascii="Arial;Helvetica;sans-serif" w:hAnsi="Arial;Helvetica;sans-serif"/>
          <w:sz w:val="22"/>
        </w:rPr>
        <w:t xml:space="preserve">page of </w:t>
      </w:r>
      <w:r>
        <w:rPr>
          <w:rFonts w:ascii="Arial;Helvetica;sans-serif" w:hAnsi="Arial;Helvetica;sans-serif"/>
          <w:color w:val="1F497D"/>
          <w:sz w:val="22"/>
          <w:u w:val="single"/>
        </w:rPr>
        <w:t>valmont.com</w:t>
      </w:r>
      <w:r>
        <w:rPr>
          <w:rFonts w:ascii="Times New Roman;Times;serif" w:hAnsi="Times New Roman;Times;serif"/>
          <w:sz w:val="20"/>
        </w:rPr>
        <w:t xml:space="preserve"> </w:t>
      </w:r>
      <w:r>
        <w:rPr>
          <w:rFonts w:ascii="Arial;Helvetica;sans-serif" w:hAnsi="Arial;Helvetica;sans-serif"/>
          <w:sz w:val="22"/>
        </w:rPr>
        <w:t>during the webcast. A replay of the event will be accessible three hours after the call at the above link or by telephone at +1 877.660.6853 or +1 201.612.7415 using access code 13756346. The replay will be available until 10:59 p.m. CT on Tuesday, October 27, 2026.</w:t>
      </w:r>
    </w:p>
    <w:p>
      <w:pPr>
        <w:pStyle w:val="TextBody"/>
        <w:bidi w:val="0"/>
        <w:spacing w:before="0" w:after="60"/>
        <w:ind w:left="0" w:right="0" w:hanging="0"/>
        <w:jc w:val="left"/>
        <w:rPr>
          <w:rFonts w:ascii="Arial;Helvetica;sans-serif" w:hAnsi="Arial;Helvetica;sans-serif"/>
          <w:b/>
          <w:sz w:val="22"/>
        </w:rPr>
      </w:pPr>
      <w:r>
        <w:rPr>
          <w:rFonts w:ascii="Arial;Helvetica;sans-serif" w:hAnsi="Arial;Helvetica;sans-serif"/>
          <w:b/>
          <w:sz w:val="22"/>
        </w:rPr>
        <w:t>About Valmont Industries, Inc.</w:t>
      </w:r>
    </w:p>
    <w:p>
      <w:pPr>
        <w:pStyle w:val="TextBody"/>
        <w:bidi w:val="0"/>
        <w:spacing w:before="60" w:after="240"/>
        <w:ind w:left="0" w:right="0" w:hanging="0"/>
        <w:jc w:val="left"/>
        <w:rPr>
          <w:rFonts w:ascii="Times New Roman;Times;serif" w:hAnsi="Times New Roman;Times;serif"/>
          <w:sz w:val="20"/>
        </w:rPr>
      </w:pPr>
      <w:r>
        <w:rPr>
          <w:rFonts w:ascii="Arial;Helvetica;sans-serif" w:hAnsi="Arial;Helvetica;sans-serif"/>
          <w:sz w:val="22"/>
        </w:rPr>
        <w:t xml:space="preserve">For more than 80 years, Valmont has been a global leader that provides products and solutions to support vital infrastructure and advance agricultural productivity. We are committed to customer-focused innovation that delivers lasting value. Learn more about how we’re </w:t>
      </w:r>
      <w:r>
        <w:rPr>
          <w:rFonts w:ascii="Arial;Helvetica;sans-serif" w:hAnsi="Arial;Helvetica;sans-serif"/>
          <w:i/>
          <w:sz w:val="22"/>
        </w:rPr>
        <w:t>Conserving Resources. Improving Life.</w:t>
      </w:r>
      <w:r>
        <w:rPr>
          <w:rFonts w:ascii="Arial;Helvetica;sans-serif" w:hAnsi="Arial;Helvetica;sans-serif"/>
          <w:i/>
          <w:sz w:val="17"/>
        </w:rPr>
        <w:t>®</w:t>
      </w:r>
      <w:r>
        <w:rPr>
          <w:rFonts w:ascii="Times New Roman;Times;serif" w:hAnsi="Times New Roman;Times;serif"/>
          <w:sz w:val="20"/>
        </w:rPr>
        <w:t xml:space="preserve"> </w:t>
      </w:r>
      <w:r>
        <w:rPr>
          <w:rFonts w:ascii="Arial;Helvetica;sans-serif" w:hAnsi="Arial;Helvetica;sans-serif"/>
          <w:sz w:val="22"/>
        </w:rPr>
        <w:t xml:space="preserve">at </w:t>
      </w:r>
      <w:r>
        <w:rPr>
          <w:rFonts w:ascii="Arial;Helvetica;sans-serif" w:hAnsi="Arial;Helvetica;sans-serif"/>
          <w:color w:val="3051F2"/>
          <w:sz w:val="22"/>
          <w:u w:val="single"/>
        </w:rPr>
        <w:t>valmont.com</w:t>
      </w:r>
      <w:r>
        <w:rPr>
          <w:rFonts w:ascii="Arial;Helvetica;sans-serif" w:hAnsi="Arial;Helvetica;sans-serif"/>
          <w:sz w:val="22"/>
        </w:rPr>
        <w:t>.</w:t>
      </w:r>
    </w:p>
    <w:p>
      <w:pPr>
        <w:pStyle w:val="TextBody"/>
        <w:bidi w:val="0"/>
        <w:spacing w:before="0" w:after="60"/>
        <w:ind w:left="0" w:right="0" w:hanging="0"/>
        <w:jc w:val="left"/>
        <w:rPr>
          <w:rFonts w:ascii="Arial;Helvetica;sans-serif" w:hAnsi="Arial;Helvetica;sans-serif"/>
          <w:b/>
          <w:sz w:val="22"/>
        </w:rPr>
      </w:pPr>
      <w:r>
        <w:rPr>
          <w:rFonts w:ascii="Arial;Helvetica;sans-serif" w:hAnsi="Arial;Helvetica;sans-serif"/>
          <w:b/>
          <w:sz w:val="22"/>
        </w:rPr>
        <w:t>Concerning Forward-Looking Statements</w:t>
      </w:r>
    </w:p>
    <w:p>
      <w:pPr>
        <w:pStyle w:val="TextBody"/>
        <w:bidi w:val="0"/>
        <w:spacing w:before="0" w:after="240"/>
        <w:ind w:left="0" w:right="0" w:hanging="0"/>
        <w:jc w:val="both"/>
        <w:rPr>
          <w:rFonts w:ascii="Arial;Helvetica;sans-serif" w:hAnsi="Arial;Helvetica;sans-serif"/>
          <w:sz w:val="22"/>
        </w:rPr>
      </w:pPr>
      <w:r>
        <w:rPr>
          <w:rFonts w:ascii="Arial;Helvetica;sans-serif" w:hAnsi="Arial;Helvetica;sans-serif"/>
          <w:sz w:val="22"/>
        </w:rPr>
        <w:t>This release contains forward-looking statements within the meaning of the Private Securities Litigation Reform Act of 1995. These statements are based on assumptions made by management, considering its experience in the industries where Valmont operates, perceptions of historical trends, current conditions, expected future developments, and other relevant factors. It is important to note that these statements are not guarantees of future performance or results. They involve risks, uncertainties (some of which are beyond Valmont’s control), and assumptions. Forward-looking statements may be accompanied by words such as “opportunities,” “estimate,” “outlook,” “clear path,” “target,” “expect,” “plan” and similar expressions. While management believes these forward-looking statements are based on reasonable assumptions as of the date made, numerous factors could cause actual results to differ materially from those anticipated. These factors include, among other things, risks described in Valmont’s reports to the Securities and Exchange Commission (“SEC”), the Company’s actual cash flows and net income, future economic and market circumstances, industry conditions, company performance and financial results, operational efficiencies, availability and price of raw materials, availability and market acceptance of new products, product pricing, domestic and international competitive environments, geopolitical risks, and actions and policy changes by domestic and foreign governments, including tariffs. The Company cautions that any forward-looking statements in this release are made as of its publication date and does not undertake to update these statements, except as required by law.</w:t>
      </w:r>
    </w:p>
    <w:p>
      <w:pPr>
        <w:pStyle w:val="TextBody"/>
        <w:bidi w:val="0"/>
        <w:spacing w:before="0" w:after="0"/>
        <w:ind w:left="0" w:right="0" w:hanging="0"/>
        <w:jc w:val="both"/>
        <w:rPr>
          <w:rFonts w:ascii="Arial;Helvetica;sans-serif" w:hAnsi="Arial;Helvetica;sans-serif"/>
          <w:sz w:val="22"/>
        </w:rPr>
      </w:pPr>
      <w:r>
        <w:rPr>
          <w:rFonts w:ascii="Arial;Helvetica;sans-serif" w:hAnsi="Arial;Helvetica;sans-serif"/>
          <w:sz w:val="22"/>
        </w:rPr>
        <w:t xml:space="preserve">The Company may provide certain non-GAAP financial measures (adjusted diluted earnings per share and adjusted effective tax rate) on a forward-looking basis from time to time. These measures are typically calculated by excluding the impact of items such as foreign exchange, acquisitions, divestitures, realignment or </w:t>
      </w:r>
    </w:p>
    <w:p>
      <w:pPr>
        <w:pStyle w:val="TextBody"/>
        <w:bidi w:val="0"/>
        <w:spacing w:before="0" w:after="0"/>
        <w:ind w:left="0" w:right="0" w:hanging="0"/>
        <w:jc w:val="left"/>
        <w:rPr>
          <w:rFonts w:ascii="Times New Roman;Times;serif" w:hAnsi="Times New Roman;Times;serif"/>
          <w:sz w:val="16"/>
        </w:rPr>
      </w:pPr>
      <w:r>
        <w:rPr>
          <w:rFonts w:ascii="Arial;Helvetica;sans-serif" w:hAnsi="Arial;Helvetica;sans-serif"/>
          <w:sz w:val="12"/>
        </w:rPr>
        <w:t>1</w:t>
      </w:r>
      <w:r>
        <w:rPr>
          <w:rFonts w:ascii="Arial;Helvetica;sans-serif" w:hAnsi="Arial;Helvetica;sans-serif"/>
          <w:sz w:val="16"/>
        </w:rPr>
        <w:t>Please see Reg G reconciliation to GAAP measures at end of document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Arial;Helvetica;sans-serif" w:hAnsi="Arial;Helvetica;sans-serif"/>
          <w:sz w:val="22"/>
        </w:rPr>
      </w:pPr>
      <w:r>
        <w:rPr>
          <w:rFonts w:ascii="Arial;Helvetica;sans-serif" w:hAnsi="Arial;Helvetica;sans-serif"/>
          <w:sz w:val="22"/>
        </w:rPr>
        <w:t>restructuring expenses, goodwill or intangible asset impairment, changes in tax laws or rates, change in redemption value of redeemable noncontrolling interests, and other non-recurring items. To the extent the Company provides forward-looking non-GAAP financial measures, reconciliations to the most directly comparable GAAP financial measures are not provided, as the Company cannot do so without unreasonable effort due to the inherent uncertainty and difficulty in predicting the timing and financial impact of such items. For the same reasons, the Company cannot assess the likely significance of unavailable information, which could be material to future results.</w:t>
      </w:r>
    </w:p>
    <w:p>
      <w:pPr>
        <w:pStyle w:val="TextBody"/>
        <w:bidi w:val="0"/>
        <w:spacing w:before="0" w:after="60"/>
        <w:ind w:left="0" w:right="0" w:hanging="0"/>
        <w:jc w:val="left"/>
        <w:rPr>
          <w:rFonts w:ascii="Arial;Helvetica;sans-serif" w:hAnsi="Arial;Helvetica;sans-serif"/>
          <w:b/>
          <w:sz w:val="22"/>
        </w:rPr>
      </w:pPr>
      <w:r>
        <w:rPr>
          <w:rFonts w:ascii="Arial;Helvetica;sans-serif" w:hAnsi="Arial;Helvetica;sans-serif"/>
          <w:b/>
          <w:sz w:val="22"/>
        </w:rPr>
        <w:t>Website and Social Media Disclosure</w:t>
      </w:r>
    </w:p>
    <w:p>
      <w:pPr>
        <w:pStyle w:val="TextBody"/>
        <w:bidi w:val="0"/>
        <w:spacing w:before="0" w:after="0"/>
        <w:ind w:left="0" w:right="0" w:hanging="0"/>
        <w:jc w:val="left"/>
        <w:rPr>
          <w:rFonts w:ascii="Arial;Helvetica;sans-serif" w:hAnsi="Arial;Helvetica;sans-serif"/>
          <w:sz w:val="22"/>
        </w:rPr>
      </w:pPr>
      <w:r>
        <w:rPr>
          <w:rFonts w:ascii="Arial;Helvetica;sans-serif" w:hAnsi="Arial;Helvetica;sans-serif"/>
          <w:sz w:val="22"/>
        </w:rPr>
        <w:t>The Company uses its website and social media channels, as identified on its website, to distribute company information. Posts on these channels may contain material information. Therefore, investors should monitor these channels alongside the Company’s press releases, SEC filings, and public conference calls and webcasts. The contents of the Company’s website and social media channels are not considered part of this press release.</w:t>
      </w:r>
    </w:p>
    <w:p>
      <w:pPr>
        <w:pStyle w:val="TextBody"/>
        <w:bidi w:val="0"/>
        <w:spacing w:before="0" w:after="0"/>
        <w:ind w:left="0" w:right="0" w:hanging="0"/>
        <w:jc w:val="center"/>
        <w:rPr>
          <w:rFonts w:ascii="Arial;Helvetica;sans-serif" w:hAnsi="Arial;Helvetica;sans-serif"/>
          <w:sz w:val="22"/>
        </w:rPr>
      </w:pPr>
      <w:r>
        <w:rPr>
          <w:rFonts w:ascii="Arial;Helvetica;sans-serif" w:hAnsi="Arial;Helvetica;sans-serif"/>
          <w:sz w:val="22"/>
        </w:rPr>
        <w:t>###</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Arial;Helvetica;sans-serif" w:hAnsi="Arial;Helvetica;sans-serif"/>
          <w:sz w:val="12"/>
        </w:rPr>
        <w:t>1</w:t>
      </w:r>
      <w:r>
        <w:rPr>
          <w:rFonts w:ascii="Arial;Helvetica;sans-serif" w:hAnsi="Arial;Helvetica;sans-serif"/>
          <w:sz w:val="16"/>
        </w:rPr>
        <w:t>Please see Reg G reconciliation to GAAP measures at end of document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EARNINGS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and shares in thousands, except per-share amounts)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10205" w:type="dxa"/>
        <w:jc w:val="center"/>
        <w:tblInd w:w="0" w:type="dxa"/>
        <w:tblLayout w:type="fixed"/>
        <w:tblCellMar>
          <w:top w:w="0" w:type="dxa"/>
          <w:left w:w="0" w:type="dxa"/>
          <w:bottom w:w="0" w:type="dxa"/>
          <w:right w:w="0" w:type="dxa"/>
        </w:tblCellMar>
      </w:tblPr>
      <w:tblGrid>
        <w:gridCol w:w="4143"/>
        <w:gridCol w:w="109"/>
        <w:gridCol w:w="224"/>
        <w:gridCol w:w="947"/>
        <w:gridCol w:w="346"/>
        <w:gridCol w:w="224"/>
        <w:gridCol w:w="947"/>
        <w:gridCol w:w="346"/>
        <w:gridCol w:w="224"/>
        <w:gridCol w:w="947"/>
        <w:gridCol w:w="346"/>
        <w:gridCol w:w="224"/>
        <w:gridCol w:w="947"/>
        <w:gridCol w:w="231"/>
      </w:tblGrid>
      <w:tr>
        <w:trPr/>
        <w:tc>
          <w:tcPr>
            <w:tcW w:w="41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r>
      <w:tr>
        <w:trPr/>
        <w:tc>
          <w:tcPr>
            <w:tcW w:w="41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c>
          <w:tcPr>
            <w:tcW w:w="346" w:type="dxa"/>
            <w:tcBorders/>
            <w:vAlign w:val="center"/>
          </w:tcPr>
          <w:p>
            <w:pPr>
              <w:pStyle w:val="TableContents"/>
              <w:bidi w:val="0"/>
              <w:spacing w:before="0" w:after="0"/>
              <w:ind w:left="0" w:right="0" w:hanging="0"/>
              <w:jc w:val="center"/>
              <w:rPr/>
            </w:pPr>
            <w:r>
              <w:rPr/>
              <w:t>​</w:t>
            </w:r>
          </w:p>
        </w:tc>
        <w:tc>
          <w:tcPr>
            <w:tcW w:w="26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Thirty-nine weeks ended</w:t>
            </w:r>
          </w:p>
        </w:tc>
        <w:tc>
          <w:tcPr>
            <w:tcW w:w="231" w:type="dxa"/>
            <w:tcBorders/>
            <w:vAlign w:val="center"/>
          </w:tcPr>
          <w:p>
            <w:pPr>
              <w:pStyle w:val="TableContents"/>
              <w:bidi w:val="0"/>
              <w:spacing w:before="0" w:after="0"/>
              <w:ind w:left="0" w:right="0" w:hanging="0"/>
              <w:jc w:val="center"/>
              <w:rPr/>
            </w:pPr>
            <w:r>
              <w:rPr/>
              <w:t>​</w:t>
            </w:r>
          </w:p>
        </w:tc>
      </w:tr>
      <w:tr>
        <w:trPr/>
        <w:tc>
          <w:tcPr>
            <w:tcW w:w="41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26,</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27,</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26,</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27,</w:t>
            </w:r>
          </w:p>
        </w:tc>
        <w:tc>
          <w:tcPr>
            <w:tcW w:w="231" w:type="dxa"/>
            <w:tcBorders/>
            <w:vAlign w:val="center"/>
          </w:tcPr>
          <w:p>
            <w:pPr>
              <w:pStyle w:val="TableContents"/>
              <w:bidi w:val="0"/>
              <w:spacing w:before="0" w:after="0"/>
              <w:ind w:left="0" w:right="0" w:hanging="0"/>
              <w:jc w:val="center"/>
              <w:rPr/>
            </w:pPr>
            <w:r>
              <w:rPr/>
              <w:t>​</w:t>
            </w:r>
          </w:p>
        </w:tc>
      </w:tr>
      <w:tr>
        <w:trPr/>
        <w:tc>
          <w:tcPr>
            <w:tcW w:w="41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231" w:type="dxa"/>
            <w:tcBorders/>
            <w:vAlign w:val="center"/>
          </w:tcPr>
          <w:p>
            <w:pPr>
              <w:pStyle w:val="TableContents"/>
              <w:bidi w:val="0"/>
              <w:spacing w:before="0" w:after="0"/>
              <w:ind w:left="0" w:right="0" w:hanging="0"/>
              <w:jc w:val="center"/>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1,103,801</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1,045,980</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3,251,687</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3,065,842</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772,417</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727,734</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2,262,608</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2,135,327</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331,384</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318,246</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989,079</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930,515</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158,550</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176,790</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494,508</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531,248</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91,337</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8,884</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172,834</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141,456</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494,571</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299,046</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  ​</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(9,306)</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(9,738)</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(28,147)</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(30,396)</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1,274</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1,588</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3,922</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6,550</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on deferred compensation investments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793</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1,187</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3,021</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2,730</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(2,310)</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(2,956)</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(2,468)</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(9,361)</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(9,549)</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(9,919)</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(23,672)</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(30,477)</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Earnings before income taxes and equity method investment loss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163,285</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131,537</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470,899</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268,569</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41,821</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30,424</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120,925</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83,503</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method investment loss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(264)</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(602)</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121,464</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101,092</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349,710</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184,464</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Earnings attributable to redeemable noncontrolling interests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(2,061)</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(706)</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(2,192)</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attributable to Valmont Industries, Inc.</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121,053</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99,031</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349,004</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182,272</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shares outstanding - Basic</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19,232</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19,736</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19,357</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19,864</w:t>
            </w:r>
          </w:p>
        </w:tc>
        <w:tc>
          <w:tcPr>
            <w:tcW w:w="231" w:type="dxa"/>
            <w:tcBorders/>
            <w:vAlign w:val="center"/>
          </w:tcPr>
          <w:p>
            <w:pPr>
              <w:pStyle w:val="TableContents"/>
              <w:bidi w:val="0"/>
              <w:spacing w:before="0" w:after="0"/>
              <w:ind w:left="0" w:right="0" w:hanging="0"/>
              <w:jc w:val="righ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Earnings per share - Basic</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6.29</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5.02</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18.03</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7.85</w:t>
            </w:r>
          </w:p>
        </w:tc>
        <w:tc>
          <w:tcPr>
            <w:tcW w:w="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w:t>
            </w:r>
          </w:p>
        </w:tc>
      </w:tr>
      <w:tr>
        <w:trPr/>
        <w:tc>
          <w:tcPr>
            <w:tcW w:w="41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 average shares outstanding - Diluted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19,391</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19,876</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19,516</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20,001</w:t>
            </w:r>
          </w:p>
        </w:tc>
        <w:tc>
          <w:tcPr>
            <w:tcW w:w="231" w:type="dxa"/>
            <w:tcBorders/>
            <w:vAlign w:val="center"/>
          </w:tcPr>
          <w:p>
            <w:pPr>
              <w:pStyle w:val="TableContents"/>
              <w:bidi w:val="0"/>
              <w:spacing w:before="0" w:after="0"/>
              <w:ind w:left="0" w:right="0" w:hanging="0"/>
              <w:jc w:val="lef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Earnings per share - Diluted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6.24</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17.88</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7.80</w:t>
            </w:r>
          </w:p>
        </w:tc>
        <w:tc>
          <w:tcPr>
            <w:tcW w:w="23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w:t>
            </w:r>
          </w:p>
        </w:tc>
      </w:tr>
      <w:tr>
        <w:trPr/>
        <w:tc>
          <w:tcPr>
            <w:tcW w:w="41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w:t>
            </w:r>
          </w:p>
        </w:tc>
      </w:tr>
      <w:tr>
        <w:trPr/>
        <w:tc>
          <w:tcPr>
            <w:tcW w:w="414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dividends per share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0.77</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0.68</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w:t>
            </w:r>
          </w:p>
        </w:tc>
        <w:tc>
          <w:tcPr>
            <w:tcW w:w="23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4"/>
          <w:shd w:fill="FFFFFF" w:val="clear"/>
        </w:rPr>
        <w:t>1</w:t>
      </w:r>
      <w:r>
        <w:rPr>
          <w:rFonts w:ascii="Times New Roman;Times;serif" w:hAnsi="Times New Roman;Times;serif"/>
          <w:sz w:val="18"/>
          <w:shd w:fill="FFFFFF" w:val="clear"/>
        </w:rPr>
        <w:t xml:space="preserve">Fiscal 2025 basic and diluted earnings per share include a change in redemption value of redeemable noncontrolling interests of </w:t>
      </w:r>
      <w:r>
        <w:rPr>
          <w:rFonts w:ascii="Times New Roman;Times;serif" w:hAnsi="Times New Roman;Times;serif"/>
          <w:sz w:val="18"/>
        </w:rPr>
        <w:t>$26,243</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OPERATING RESULTS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9278" w:type="dxa"/>
        <w:jc w:val="left"/>
        <w:tblInd w:w="0" w:type="dxa"/>
        <w:tblLayout w:type="fixed"/>
        <w:tblCellMar>
          <w:top w:w="0" w:type="dxa"/>
          <w:left w:w="0" w:type="dxa"/>
          <w:bottom w:w="0" w:type="dxa"/>
          <w:right w:w="0" w:type="dxa"/>
        </w:tblCellMar>
      </w:tblPr>
      <w:tblGrid>
        <w:gridCol w:w="3286"/>
        <w:gridCol w:w="109"/>
        <w:gridCol w:w="264"/>
        <w:gridCol w:w="936"/>
        <w:gridCol w:w="346"/>
        <w:gridCol w:w="264"/>
        <w:gridCol w:w="936"/>
        <w:gridCol w:w="346"/>
        <w:gridCol w:w="230"/>
        <w:gridCol w:w="970"/>
        <w:gridCol w:w="346"/>
        <w:gridCol w:w="228"/>
        <w:gridCol w:w="1017"/>
      </w:tblGrid>
      <w:tr>
        <w:trPr/>
        <w:tc>
          <w:tcPr>
            <w:tcW w:w="3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74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w:t>
            </w:r>
          </w:p>
        </w:tc>
        <w:tc>
          <w:tcPr>
            <w:tcW w:w="346" w:type="dxa"/>
            <w:tcBorders/>
            <w:vAlign w:val="center"/>
          </w:tcPr>
          <w:p>
            <w:pPr>
              <w:pStyle w:val="TableContents"/>
              <w:bidi w:val="0"/>
              <w:spacing w:before="0" w:after="0"/>
              <w:ind w:left="0" w:right="0" w:hanging="0"/>
              <w:jc w:val="center"/>
              <w:rPr/>
            </w:pPr>
            <w:r>
              <w:rPr/>
              <w:t>​</w:t>
            </w:r>
          </w:p>
        </w:tc>
        <w:tc>
          <w:tcPr>
            <w:tcW w:w="27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Thirty-nine weeks ended</w:t>
            </w:r>
          </w:p>
        </w:tc>
      </w:tr>
      <w:tr>
        <w:trPr/>
        <w:tc>
          <w:tcPr>
            <w:tcW w:w="3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26,</w:t>
            </w:r>
          </w:p>
        </w:tc>
        <w:tc>
          <w:tcPr>
            <w:tcW w:w="346" w:type="dxa"/>
            <w:tcBorders/>
            <w:vAlign w:val="center"/>
          </w:tcPr>
          <w:p>
            <w:pPr>
              <w:pStyle w:val="TableContents"/>
              <w:bidi w:val="0"/>
              <w:spacing w:before="0" w:after="0"/>
              <w:ind w:left="0" w:right="0" w:hanging="0"/>
              <w:jc w:val="left"/>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27,</w:t>
            </w:r>
          </w:p>
        </w:tc>
        <w:tc>
          <w:tcPr>
            <w:tcW w:w="346" w:type="dxa"/>
            <w:tcBorders/>
            <w:vAlign w:val="center"/>
          </w:tcPr>
          <w:p>
            <w:pPr>
              <w:pStyle w:val="TableContents"/>
              <w:bidi w:val="0"/>
              <w:spacing w:before="0" w:after="0"/>
              <w:ind w:left="0" w:right="0" w:hanging="0"/>
              <w:jc w:val="left"/>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26,</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27,</w:t>
            </w:r>
          </w:p>
        </w:tc>
      </w:tr>
      <w:tr>
        <w:trPr/>
        <w:tc>
          <w:tcPr>
            <w:tcW w:w="3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0"/>
              <w:ind w:left="0" w:right="0" w:hanging="0"/>
              <w:jc w:val="left"/>
              <w:rPr/>
            </w:pPr>
            <w:r>
              <w:rPr/>
              <w:t>  ​ ​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Infrastructure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879,586</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806,562</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2,559,484</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2,273,145</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255,371</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239,426</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764,202</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680,184</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100,532</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96,049</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311,964</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302,899</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89,356</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1,426</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154,839</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143,377</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452,238</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286,503</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w:t>
            </w:r>
          </w:p>
        </w:tc>
      </w:tr>
      <w:tr>
        <w:trPr/>
        <w:tc>
          <w:tcPr>
            <w:tcW w:w="3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Agriculture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224,215</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239,418</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692,203</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792,697</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76,013</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78,820</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224,877</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250,331</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33.9%</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35,864</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55,631</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111,342</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149,987</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1,981</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2,886</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40,149</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23,189</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113,535</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95,477</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i/>
                <w:sz w:val="18"/>
              </w:rPr>
            </w:pPr>
            <w:r>
              <w:rPr>
                <w:rFonts w:ascii="Times New Roman;Times;serif" w:hAnsi="Times New Roman;Times;serif"/>
                <w:i/>
                <w:sz w:val="18"/>
              </w:rPr>
              <w:t>as a percentage of 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w:t>
            </w:r>
          </w:p>
        </w:tc>
      </w:tr>
      <w:tr>
        <w:trPr/>
        <w:tc>
          <w:tcPr>
            <w:tcW w:w="32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Corporate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left"/>
              <w:rPr/>
            </w:pPr>
            <w:r>
              <w:rPr/>
              <w:t>​</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22,154</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25,110</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71,202</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78,362</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4,572</w:t>
            </w:r>
          </w:p>
        </w:tc>
      </w:tr>
      <w:tr>
        <w:trPr/>
        <w:tc>
          <w:tcPr>
            <w:tcW w:w="32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loss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(22,154)</w:t>
            </w:r>
          </w:p>
        </w:tc>
        <w:tc>
          <w:tcPr>
            <w:tcW w:w="34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93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(25,110)</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7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(71,202)</w:t>
            </w:r>
          </w:p>
        </w:tc>
        <w:tc>
          <w:tcPr>
            <w:tcW w:w="34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0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(82,934)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OPERATING RESULTS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first quarter of fiscal 2026, the Company revised its product line presentation to better reflect how the business is currently managed. Within the Infrastructure segment, product lines are now presented as North America Utility, North America Lighting and Transportation, North America Coatings, North America Telecommunications, and International Infrastructure and Solar, replacing the previous presentation of Utility, Lighting and Transportation, Coatings, Telecommunications, and Solar. Within the Agriculture segment, product lines are now presented as Agriculture, replacing the previous presentation of Irrigation Equipment and Parts and Technology Products and Services. The prior period product line amounts have been recast to conform to the current period presentation.</w:t>
      </w:r>
    </w:p>
    <w:tbl>
      <w:tblPr>
        <w:tblW w:w="8713" w:type="dxa"/>
        <w:jc w:val="left"/>
        <w:tblInd w:w="0" w:type="dxa"/>
        <w:tblLayout w:type="fixed"/>
        <w:tblCellMar>
          <w:top w:w="0" w:type="dxa"/>
          <w:left w:w="0" w:type="dxa"/>
          <w:bottom w:w="0" w:type="dxa"/>
          <w:right w:w="0" w:type="dxa"/>
        </w:tblCellMar>
      </w:tblPr>
      <w:tblGrid>
        <w:gridCol w:w="3211"/>
        <w:gridCol w:w="346"/>
        <w:gridCol w:w="262"/>
        <w:gridCol w:w="924"/>
        <w:gridCol w:w="346"/>
        <w:gridCol w:w="212"/>
        <w:gridCol w:w="749"/>
        <w:gridCol w:w="109"/>
        <w:gridCol w:w="276"/>
        <w:gridCol w:w="805"/>
        <w:gridCol w:w="346"/>
        <w:gridCol w:w="196"/>
        <w:gridCol w:w="931"/>
      </w:tblGrid>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5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 September 26, 2026</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109" w:type="dxa"/>
            <w:tcBorders/>
            <w:vAlign w:val="center"/>
          </w:tcPr>
          <w:p>
            <w:pPr>
              <w:pStyle w:val="TableContents"/>
              <w:bidi w:val="0"/>
              <w:spacing w:before="0" w:after="0"/>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Intersegment</w:t>
            </w:r>
          </w:p>
        </w:tc>
        <w:tc>
          <w:tcPr>
            <w:tcW w:w="346" w:type="dxa"/>
            <w:tcBorders/>
            <w:vAlign w:val="center"/>
          </w:tcPr>
          <w:p>
            <w:pPr>
              <w:pStyle w:val="TableContents"/>
              <w:bidi w:val="0"/>
              <w:spacing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Geographical Market: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721,751</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128,920</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(4,285)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846,386</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160,338</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97,077</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257,415</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882,089</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225,997</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(4,285)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1,103,801</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Line:</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Utility</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469,622</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469,622</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Lighting and Transportation</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127,471</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127,471</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Coatings</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69,713</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67,210</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Telecommunications</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54,885</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54,885</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 Infrastructure and Solar</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160,398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160,398</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225,997</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224,215</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882,089</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225,997</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(4,285)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1,103,801</w:t>
            </w:r>
          </w:p>
        </w:tc>
      </w:tr>
    </w:tbl>
    <w:p>
      <w:pPr>
        <w:pStyle w:val="TextBody"/>
        <w:bidi w:val="0"/>
        <w:spacing w:before="0" w:after="0"/>
        <w:ind w:left="0" w:right="0" w:hanging="0"/>
        <w:jc w:val="left"/>
        <w:rPr>
          <w:shd w:fill="FFFF00" w:val="clear"/>
        </w:rPr>
      </w:pPr>
      <w:r>
        <w:rPr>
          <w:shd w:fill="FFFF00" w:val="clear"/>
        </w:rPr>
        <w:t>​</w:t>
      </w:r>
    </w:p>
    <w:tbl>
      <w:tblPr>
        <w:tblW w:w="8713" w:type="dxa"/>
        <w:jc w:val="left"/>
        <w:tblInd w:w="0" w:type="dxa"/>
        <w:tblLayout w:type="fixed"/>
        <w:tblCellMar>
          <w:top w:w="0" w:type="dxa"/>
          <w:left w:w="0" w:type="dxa"/>
          <w:bottom w:w="0" w:type="dxa"/>
          <w:right w:w="0" w:type="dxa"/>
        </w:tblCellMar>
      </w:tblPr>
      <w:tblGrid>
        <w:gridCol w:w="3211"/>
        <w:gridCol w:w="346"/>
        <w:gridCol w:w="262"/>
        <w:gridCol w:w="924"/>
        <w:gridCol w:w="346"/>
        <w:gridCol w:w="212"/>
        <w:gridCol w:w="749"/>
        <w:gridCol w:w="109"/>
        <w:gridCol w:w="276"/>
        <w:gridCol w:w="805"/>
        <w:gridCol w:w="346"/>
        <w:gridCol w:w="196"/>
        <w:gridCol w:w="931"/>
      </w:tblGrid>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5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 September 27, 2025</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109" w:type="dxa"/>
            <w:tcBorders/>
            <w:vAlign w:val="center"/>
          </w:tcPr>
          <w:p>
            <w:pPr>
              <w:pStyle w:val="TableContents"/>
              <w:bidi w:val="0"/>
              <w:spacing w:before="0" w:after="0"/>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Intersegment</w:t>
            </w:r>
          </w:p>
        </w:tc>
        <w:tc>
          <w:tcPr>
            <w:tcW w:w="346" w:type="dxa"/>
            <w:tcBorders/>
            <w:vAlign w:val="center"/>
          </w:tcPr>
          <w:p>
            <w:pPr>
              <w:pStyle w:val="TableContents"/>
              <w:bidi w:val="0"/>
              <w:spacing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Geographical Market: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656,285</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111,334</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763,981</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152,000</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130,004</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281,999</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808,285</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241,338</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1,045,980</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Line:</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Utility</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381,657</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381,657</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Lighting and Transportation</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130,369</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130,369</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Coatings</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61,251</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59,533</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Telecommunications</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82,926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82,926</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 Infrastructure and Solar</w:t>
            </w:r>
          </w:p>
        </w:tc>
        <w:tc>
          <w:tcPr>
            <w:tcW w:w="34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152,082</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152,077</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241,338</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239,418</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808,285</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241,338</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(3,643)</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1,045,980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OPERATING RESULTS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8713" w:type="dxa"/>
        <w:jc w:val="left"/>
        <w:tblInd w:w="0" w:type="dxa"/>
        <w:tblLayout w:type="fixed"/>
        <w:tblCellMar>
          <w:top w:w="0" w:type="dxa"/>
          <w:left w:w="0" w:type="dxa"/>
          <w:bottom w:w="0" w:type="dxa"/>
          <w:right w:w="0" w:type="dxa"/>
        </w:tblCellMar>
      </w:tblPr>
      <w:tblGrid>
        <w:gridCol w:w="3211"/>
        <w:gridCol w:w="346"/>
        <w:gridCol w:w="227"/>
        <w:gridCol w:w="959"/>
        <w:gridCol w:w="346"/>
        <w:gridCol w:w="212"/>
        <w:gridCol w:w="749"/>
        <w:gridCol w:w="109"/>
        <w:gridCol w:w="247"/>
        <w:gridCol w:w="834"/>
        <w:gridCol w:w="346"/>
        <w:gridCol w:w="196"/>
        <w:gridCol w:w="931"/>
      </w:tblGrid>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5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Thirty-nine weeks ended September 26, 2026</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109" w:type="dxa"/>
            <w:tcBorders/>
            <w:vAlign w:val="center"/>
          </w:tcPr>
          <w:p>
            <w:pPr>
              <w:pStyle w:val="TableContents"/>
              <w:bidi w:val="0"/>
              <w:spacing w:before="0" w:after="0"/>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Intersegment</w:t>
            </w:r>
          </w:p>
        </w:tc>
        <w:tc>
          <w:tcPr>
            <w:tcW w:w="346" w:type="dxa"/>
            <w:tcBorders/>
            <w:vAlign w:val="center"/>
          </w:tcPr>
          <w:p>
            <w:pPr>
              <w:pStyle w:val="TableContents"/>
              <w:bidi w:val="0"/>
              <w:spacing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Geographical Market: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2,103,093</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407,670</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(11,956)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2,498,807</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463,858</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289,022</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752,880</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2,566,951</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696,692</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(11,956)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3,251,687</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Line:</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Utility</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1,350,544</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1,350,544</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Lighting and Transportation</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376,625</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376,625</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Coatings</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201,884</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(7,467)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194,417</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Telecommunications</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173,374</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173,374</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 Infrastructure and Solar</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464,524</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464,524</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696,692</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692,203</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2,566,951</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696,692</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(11,956)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3,251,687</w:t>
            </w:r>
          </w:p>
        </w:tc>
      </w:tr>
    </w:tbl>
    <w:p>
      <w:pPr>
        <w:pStyle w:val="TextBody"/>
        <w:bidi w:val="0"/>
        <w:spacing w:before="0" w:after="0"/>
        <w:ind w:left="0" w:right="0" w:hanging="0"/>
        <w:jc w:val="left"/>
        <w:rPr/>
      </w:pPr>
      <w:r>
        <w:rPr/>
        <w:t>​</w:t>
      </w:r>
    </w:p>
    <w:tbl>
      <w:tblPr>
        <w:tblW w:w="8713" w:type="dxa"/>
        <w:jc w:val="left"/>
        <w:tblInd w:w="0" w:type="dxa"/>
        <w:tblLayout w:type="fixed"/>
        <w:tblCellMar>
          <w:top w:w="0" w:type="dxa"/>
          <w:left w:w="0" w:type="dxa"/>
          <w:bottom w:w="0" w:type="dxa"/>
          <w:right w:w="0" w:type="dxa"/>
        </w:tblCellMar>
      </w:tblPr>
      <w:tblGrid>
        <w:gridCol w:w="3211"/>
        <w:gridCol w:w="346"/>
        <w:gridCol w:w="227"/>
        <w:gridCol w:w="959"/>
        <w:gridCol w:w="346"/>
        <w:gridCol w:w="212"/>
        <w:gridCol w:w="749"/>
        <w:gridCol w:w="109"/>
        <w:gridCol w:w="247"/>
        <w:gridCol w:w="834"/>
        <w:gridCol w:w="346"/>
        <w:gridCol w:w="196"/>
        <w:gridCol w:w="931"/>
      </w:tblGrid>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5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Thirty-nine weeks ended September 27, 2025</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109" w:type="dxa"/>
            <w:tcBorders/>
            <w:vAlign w:val="center"/>
          </w:tcPr>
          <w:p>
            <w:pPr>
              <w:pStyle w:val="TableContents"/>
              <w:bidi w:val="0"/>
              <w:spacing w:before="0" w:after="0"/>
              <w:ind w:left="0" w:right="0" w:hanging="0"/>
              <w:jc w:val="left"/>
              <w:rPr/>
            </w:pPr>
            <w:r>
              <w:rPr/>
              <w:t>​</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Intersegment</w:t>
            </w:r>
          </w:p>
        </w:tc>
        <w:tc>
          <w:tcPr>
            <w:tcW w:w="346" w:type="dxa"/>
            <w:tcBorders/>
            <w:vAlign w:val="center"/>
          </w:tcPr>
          <w:p>
            <w:pPr>
              <w:pStyle w:val="TableContents"/>
              <w:bidi w:val="0"/>
              <w:spacing w:before="0" w:after="0"/>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Geographical Market: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1,849,918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391,292</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(12,079)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2,229,131</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430,113</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406,737</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836,711</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2,280,031</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798,029</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(12,218)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3,065,842</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Line:</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Utility</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1,055,681</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1,055,681</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Lighting and Transportation</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388,257</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388,257</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Coatings</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176,143</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169,396</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North America Telecommunications</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224,063</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224,063</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International Infrastructure and Solar</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435,887</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435,748</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798,029</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(5,332)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792,697</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sales</w:t>
            </w:r>
          </w:p>
        </w:tc>
        <w:tc>
          <w:tcPr>
            <w:tcW w:w="346" w:type="dxa"/>
            <w:tcBorders/>
            <w:vAlign w:val="center"/>
          </w:tcPr>
          <w:p>
            <w:pPr>
              <w:pStyle w:val="TableContents"/>
              <w:bidi w:val="0"/>
              <w:spacing w:before="0" w:after="0"/>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2,280,031</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798,029</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(12,218)</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3,065,842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10205" w:type="dxa"/>
        <w:jc w:val="center"/>
        <w:tblInd w:w="0" w:type="dxa"/>
        <w:tblLayout w:type="fixed"/>
        <w:tblCellMar>
          <w:top w:w="0" w:type="dxa"/>
          <w:left w:w="0" w:type="dxa"/>
          <w:bottom w:w="0" w:type="dxa"/>
          <w:right w:w="0" w:type="dxa"/>
        </w:tblCellMar>
      </w:tblPr>
      <w:tblGrid>
        <w:gridCol w:w="7401"/>
        <w:gridCol w:w="109"/>
        <w:gridCol w:w="224"/>
        <w:gridCol w:w="947"/>
        <w:gridCol w:w="346"/>
        <w:gridCol w:w="204"/>
        <w:gridCol w:w="974"/>
      </w:tblGrid>
      <w:tr>
        <w:trPr/>
        <w:tc>
          <w:tcPr>
            <w:tcW w:w="7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r>
      <w:tr>
        <w:trPr/>
        <w:tc>
          <w:tcPr>
            <w:tcW w:w="7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26,</w:t>
            </w:r>
          </w:p>
        </w:tc>
        <w:tc>
          <w:tcPr>
            <w:tcW w:w="346" w:type="dxa"/>
            <w:tcBorders/>
            <w:vAlign w:val="center"/>
          </w:tcPr>
          <w:p>
            <w:pPr>
              <w:pStyle w:val="TableContents"/>
              <w:bidi w:val="0"/>
              <w:spacing w:before="0" w:after="0"/>
              <w:ind w:left="0" w:right="0" w:hanging="0"/>
              <w:jc w:val="center"/>
              <w:rPr/>
            </w:pPr>
            <w:r>
              <w:rPr/>
              <w:t>​</w:t>
            </w:r>
          </w:p>
        </w:tc>
        <w:tc>
          <w:tcPr>
            <w:tcW w:w="1178"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7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1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122,045</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187,140</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 net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651,738</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590,127</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644,813</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566,396</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303,996</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266,922</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112,744</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109,063</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1,835,336</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1,719,648</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plant, and equipment, net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716,289</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673,863</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 and other non-current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989,249</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975,818</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3,540,874</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3,369,329</w:t>
            </w:r>
          </w:p>
        </w:tc>
      </w:tr>
      <w:tr>
        <w:trPr/>
        <w:tc>
          <w:tcPr>
            <w:tcW w:w="7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left"/>
              <w:rPr/>
            </w:pPr>
            <w:r>
              <w:rPr/>
              <w:t>​</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REDEEMABLE NONCONTROLLING INTERESTS, AND SHAREHOLDERS' EQUITY</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  ​</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pPr>
            <w:r>
              <w:rPr/>
              <w:t>  ​</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installments of long-term debt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513</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Mandatorily redeemable financial instrument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8,922</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406,475</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359,539</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265,392</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284,751</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liabilities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64,911</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52,013</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9,306</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12,604</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payable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14,737</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13,278</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760,973</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731,620</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 excluding current installments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756,141</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795,150</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139,358</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130,007</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115,545</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70,267</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1,772,017</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1,727,044</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Redeemable noncontrolling interests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9,236</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9,498</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Shareholders' equity</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1,759,621</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1,632,787</w:t>
            </w:r>
          </w:p>
        </w:tc>
      </w:tr>
      <w:tr>
        <w:trPr/>
        <w:tc>
          <w:tcPr>
            <w:tcW w:w="74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redeemable noncontrolling interests, and shareholders' equity</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3,540,874</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3,369,329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6801" w:type="dxa"/>
        <w:jc w:val="left"/>
        <w:tblInd w:w="0" w:type="dxa"/>
        <w:tblLayout w:type="fixed"/>
        <w:tblCellMar>
          <w:top w:w="0" w:type="dxa"/>
          <w:left w:w="0" w:type="dxa"/>
          <w:bottom w:w="0" w:type="dxa"/>
          <w:right w:w="0" w:type="dxa"/>
        </w:tblCellMar>
      </w:tblPr>
      <w:tblGrid>
        <w:gridCol w:w="3901"/>
        <w:gridCol w:w="109"/>
        <w:gridCol w:w="233"/>
        <w:gridCol w:w="967"/>
        <w:gridCol w:w="346"/>
        <w:gridCol w:w="232"/>
        <w:gridCol w:w="1013"/>
      </w:tblGrid>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7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Thirty-nine weeks ended</w: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26,</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27,</w:t>
            </w:r>
          </w:p>
        </w:tc>
      </w:tr>
      <w:tr>
        <w:trPr/>
        <w:tc>
          <w:tcPr>
            <w:tcW w:w="39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349,710</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184,464</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72,860</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65,429</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Contribution to defined benefit pension plan</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(886)</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(3,155)</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9,629</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91,337</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assets and liabilities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(127,397)</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(18,745)</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48,159</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25,913</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from operating activities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352,075</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345,243</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pPr>
            <w:r>
              <w:rPr/>
              <w:t>  ​</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plant, and equipment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(116,077)</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(104,230)</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Acquisitions, net of cash acquired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(11,470)</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5,676</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from investing activities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(121,871)</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(104,311)</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pPr>
            <w:r>
              <w:rPr/>
              <w:t>  ​</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repayments on short-term borrowings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(1,652)</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long-term borrowings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120,665</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130,000</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Principal repayments on long-term borrowings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(160,590)</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(130,531)</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paid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(43,091)</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(39,085)</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redeemable noncontrolling interests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(8,922)</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(14,624)</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Repurchases of common stock</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(199,859)</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(125,839)</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(4,210)</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(4,438)</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from financing activities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(296,007)</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(186,169)</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rates on cash and cash equivalents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708</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7,029</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cash and cash equivalents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(65,095)</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61,792</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equivalents—beginning of period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187,140</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164,315</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equivalents—end of period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122,045</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1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226,107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USE OF NON-GAAP FINANCIAL MEASURES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Management utilizes non-GAAP financial measures to assess the Company’s historical and prospective financial performance, evaluate operational profitability on a consistent basis, factor into executive compensation decisions, and enhance transparency for the investment community. These non-GAAP measures are intended to supplement, not replace, the Company’s reported financial results prepared in accordance with GAAP. It is important to note that other companies may calculate these measures differently, which can limit their usefulness for comparison across organizations.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non-GAAP measures may be included in financial releases and other financial communications: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Adjusted Gross Profit, Adjusted Gross Margin, Adjusted Operating Income, Adjusted Operating Margin, Adjusted Net Earnings, Adjusted Diluted EPS, and Adjusted Effective Tax Rate:</w:t>
            </w:r>
            <w:r>
              <w:rPr>
                <w:caps w:val="false"/>
                <w:smallCaps w:val="false"/>
              </w:rPr>
              <w:t xml:space="preserve"> </w:t>
            </w:r>
            <w:r>
              <w:rPr>
                <w:rFonts w:ascii="Times New Roman;Times;serif" w:hAnsi="Times New Roman;Times;serif"/>
                <w:b w:val="false"/>
                <w:i w:val="false"/>
                <w:caps w:val="false"/>
                <w:smallCaps w:val="false"/>
                <w:sz w:val="20"/>
              </w:rPr>
              <w:t>These metrics provide meaningful supplemental insights into the Company’s operating performance by excluding items that are not considered part of core operating results. This approach enhances comparability across reporting periods. Adjustments may include costs or benefits associated with acquisitions, divestitures, expenses related to realignment or restructuring programs, goodwill or intangible asset impairment, significant expenses or benefits from changes in tax laws or rates, cumulative effects of changes in accounting standards, refinancing-related expenses, a loss or a gain from a partial or full settlement of the U.K. defined benefit pension plan obligation, losses from natural disasters, change in redemption value of redeemable noncontrolling interests, and other non-recurring items.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Adjusted EBITDA:</w:t>
            </w:r>
            <w:r>
              <w:rPr>
                <w:caps w:val="false"/>
                <w:smallCaps w:val="false"/>
              </w:rPr>
              <w:t xml:space="preserve"> </w:t>
            </w:r>
            <w:r>
              <w:rPr>
                <w:rFonts w:ascii="Times New Roman;Times;serif" w:hAnsi="Times New Roman;Times;serif"/>
                <w:b w:val="false"/>
                <w:i w:val="false"/>
                <w:caps w:val="false"/>
                <w:smallCaps w:val="false"/>
                <w:sz w:val="20"/>
              </w:rPr>
              <w:t>This metric is a key component of a financial ratio included in the covenants of our major debt agreements. It is calculated as net earnings before interest, taxes, depreciation, amortization, stock-based compensation, and other adjustments as outlined in the applicable debt agreements. This metric offers investors and analysts valuable insights into the Company’s core operating performance. Adjusted EBITDA margin is also used to evaluate profitability.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Leverage Ratio:</w:t>
            </w:r>
            <w:r>
              <w:rPr>
                <w:caps w:val="false"/>
                <w:smallCaps w:val="false"/>
              </w:rPr>
              <w:t xml:space="preserve"> </w:t>
            </w:r>
            <w:r>
              <w:rPr>
                <w:rFonts w:ascii="Times New Roman;Times;serif" w:hAnsi="Times New Roman;Times;serif"/>
                <w:b w:val="false"/>
                <w:i w:val="false"/>
                <w:caps w:val="false"/>
                <w:smallCaps w:val="false"/>
                <w:sz w:val="20"/>
              </w:rPr>
              <w:t>This ratio is calculated by taking the sum of interest-bearing debt, minus unrestricted cash in excess of $50.0 million (but not exceeding $500.0 million), and dividing it by Adjusted EBITDA. This is a key financial ratio included in the covenants of our major debt agreements and is calculated on a rolling four-fiscal-quarter basis. The revolving credit facility requires us to maintain a financial leverage ratio of 3.50 or lower, measured as of the last day of each fiscal quarter.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Free Cash Flow:</w:t>
            </w:r>
            <w:r>
              <w:rPr>
                <w:caps w:val="false"/>
                <w:smallCaps w:val="false"/>
              </w:rPr>
              <w:t xml:space="preserve"> </w:t>
            </w:r>
            <w:r>
              <w:rPr>
                <w:rFonts w:ascii="Times New Roman;Times;serif" w:hAnsi="Times New Roman;Times;serif"/>
                <w:b w:val="false"/>
                <w:i w:val="false"/>
                <w:caps w:val="false"/>
                <w:smallCaps w:val="false"/>
                <w:sz w:val="20"/>
              </w:rPr>
              <w:t>Calculated as net cash provided by operating activities minus capital expenditures, free cash flow serves as an indicator of the Company’s financial strength. However, this measure does not fully reflect the Company’s ability to deploy cash freely, as it has obligations such as debt repayments and other fixed commitments.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Backlog: </w:t>
            </w:r>
            <w:r>
              <w:rPr>
                <w:rFonts w:ascii="Times New Roman;Times;serif" w:hAnsi="Times New Roman;Times;serif"/>
                <w:b w:val="false"/>
                <w:i w:val="false"/>
                <w:caps w:val="false"/>
                <w:smallCaps w:val="false"/>
                <w:sz w:val="20"/>
              </w:rPr>
              <w:t>This operating measure is used to evaluate future potential sales revenue. An order is included in the backlog upon receipt of a customer purchase order or the execution of a sales order contract. Backlog is particularly relevant to the Infrastructure segment due to the longer-term nature of its projects. However, backlog is not a term defined under U.S. GAAP and does not measure contract profitability. It should not be viewed as the sole indicator of future revenue, as many projects with short lead times book-and-bill within the same reporting period and are not included in the backlog.</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ROIC: </w:t>
            </w:r>
            <w:r>
              <w:rPr>
                <w:rFonts w:ascii="Times New Roman;Times;serif" w:hAnsi="Times New Roman;Times;serif"/>
                <w:b w:val="false"/>
                <w:i w:val="false"/>
                <w:caps w:val="false"/>
                <w:smallCaps w:val="false"/>
                <w:sz w:val="20"/>
              </w:rPr>
              <w:t>Return on invested capital (“ROIC”) and adjusted ROIC are key operating ratios that enable investors to assess our operating performance relative to the investment needed to generate operating profit. ROIC is calculated as after-tax operating income divided by the average of beginning and ending invested capital. Adjusted ROIC is calculated as after-tax adjusted operating income divided by the average of beginning and ending invested capital. Invested capital represents total assets minus total liabilities (excluding interest-bearing debt and redeemable noncontrolling interests).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28" w:before="0" w:after="0"/>
        <w:ind w:left="72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OF EFFECT OF SIGNIFICANT NON-RECURRING ITEMS ON REPORTED RESULTS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REGULATION G RECONCILIATION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8247" w:type="dxa"/>
        <w:jc w:val="left"/>
        <w:tblInd w:w="0" w:type="dxa"/>
        <w:tblLayout w:type="fixed"/>
        <w:tblCellMar>
          <w:top w:w="0" w:type="dxa"/>
          <w:left w:w="0" w:type="dxa"/>
          <w:bottom w:w="0" w:type="dxa"/>
          <w:right w:w="0" w:type="dxa"/>
        </w:tblCellMar>
      </w:tblPr>
      <w:tblGrid>
        <w:gridCol w:w="2986"/>
        <w:gridCol w:w="109"/>
        <w:gridCol w:w="262"/>
        <w:gridCol w:w="924"/>
        <w:gridCol w:w="346"/>
        <w:gridCol w:w="212"/>
        <w:gridCol w:w="749"/>
        <w:gridCol w:w="346"/>
        <w:gridCol w:w="278"/>
        <w:gridCol w:w="578"/>
        <w:gridCol w:w="346"/>
        <w:gridCol w:w="204"/>
        <w:gridCol w:w="907"/>
      </w:tblGrid>
      <w:tr>
        <w:trPr/>
        <w:tc>
          <w:tcPr>
            <w:tcW w:w="29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left"/>
              <w:rPr/>
            </w:pPr>
            <w:r>
              <w:rPr/>
              <w:t>​</w:t>
            </w:r>
          </w:p>
        </w:tc>
      </w:tr>
      <w:tr>
        <w:trPr/>
        <w:tc>
          <w:tcPr>
            <w:tcW w:w="29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515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 September 27, 2025</w:t>
            </w:r>
          </w:p>
        </w:tc>
      </w:tr>
      <w:tr>
        <w:trPr/>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Gross Profit Reconciliation</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346" w:type="dxa"/>
            <w:tcBorders/>
            <w:vAlign w:val="center"/>
          </w:tcPr>
          <w:p>
            <w:pPr>
              <w:pStyle w:val="TableContents"/>
              <w:bidi w:val="0"/>
              <w:spacing w:before="0" w:after="0"/>
              <w:ind w:left="0" w:right="0" w:hanging="0"/>
              <w:jc w:val="left"/>
              <w:rPr/>
            </w:pPr>
            <w:r>
              <w:rPr/>
              <w:t>  ​ ​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Corporate</w:t>
            </w:r>
          </w:p>
        </w:tc>
        <w:tc>
          <w:tcPr>
            <w:tcW w:w="346" w:type="dxa"/>
            <w:tcBorders/>
            <w:vAlign w:val="center"/>
          </w:tcPr>
          <w:p>
            <w:pPr>
              <w:pStyle w:val="TableContents"/>
              <w:bidi w:val="0"/>
              <w:spacing w:before="0" w:after="0"/>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 - as reported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239,426</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78,820</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318,246</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gross profit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239,426</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78,820</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318,246</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 - as reported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806,562</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239,418</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1,045,980</w:t>
            </w:r>
          </w:p>
        </w:tc>
      </w:tr>
      <w:tr>
        <w:trPr/>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986"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 as a % of 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w:t>
            </w:r>
          </w:p>
        </w:tc>
      </w:tr>
      <w:tr>
        <w:trPr/>
        <w:tc>
          <w:tcPr>
            <w:tcW w:w="298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gross profit as a % of net sales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30.4%</w:t>
            </w:r>
          </w:p>
        </w:tc>
      </w:tr>
    </w:tbl>
    <w:p>
      <w:pPr>
        <w:pStyle w:val="TextBody"/>
        <w:bidi w:val="0"/>
        <w:spacing w:before="0" w:after="0"/>
        <w:ind w:left="0" w:right="0" w:hanging="0"/>
        <w:jc w:val="left"/>
        <w:rPr/>
      </w:pPr>
      <w:r>
        <w:rPr/>
        <w:t>​</w:t>
      </w:r>
    </w:p>
    <w:tbl>
      <w:tblPr>
        <w:tblW w:w="8247" w:type="dxa"/>
        <w:jc w:val="left"/>
        <w:tblInd w:w="0" w:type="dxa"/>
        <w:tblLayout w:type="fixed"/>
        <w:tblCellMar>
          <w:top w:w="0" w:type="dxa"/>
          <w:left w:w="0" w:type="dxa"/>
          <w:bottom w:w="0" w:type="dxa"/>
          <w:right w:w="0" w:type="dxa"/>
        </w:tblCellMar>
      </w:tblPr>
      <w:tblGrid>
        <w:gridCol w:w="2986"/>
        <w:gridCol w:w="109"/>
        <w:gridCol w:w="227"/>
        <w:gridCol w:w="959"/>
        <w:gridCol w:w="346"/>
        <w:gridCol w:w="212"/>
        <w:gridCol w:w="749"/>
        <w:gridCol w:w="346"/>
        <w:gridCol w:w="278"/>
        <w:gridCol w:w="578"/>
        <w:gridCol w:w="346"/>
        <w:gridCol w:w="204"/>
        <w:gridCol w:w="907"/>
      </w:tblGrid>
      <w:tr>
        <w:trPr/>
        <w:tc>
          <w:tcPr>
            <w:tcW w:w="29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left"/>
              <w:rPr/>
            </w:pPr>
            <w:r>
              <w:rPr/>
              <w:t>​</w:t>
            </w:r>
          </w:p>
        </w:tc>
      </w:tr>
      <w:tr>
        <w:trPr/>
        <w:tc>
          <w:tcPr>
            <w:tcW w:w="29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515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Thirty-nine weeks ended September 27, 2025</w:t>
            </w:r>
          </w:p>
        </w:tc>
      </w:tr>
      <w:tr>
        <w:trPr/>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Gross Profit Reconciliation</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346" w:type="dxa"/>
            <w:tcBorders/>
            <w:vAlign w:val="center"/>
          </w:tcPr>
          <w:p>
            <w:pPr>
              <w:pStyle w:val="TableContents"/>
              <w:bidi w:val="0"/>
              <w:spacing w:before="0" w:after="0"/>
              <w:ind w:left="0" w:right="0" w:hanging="0"/>
              <w:jc w:val="left"/>
              <w:rPr/>
            </w:pPr>
            <w:r>
              <w:rPr/>
              <w:t>  ​ ​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Corporate</w:t>
            </w:r>
          </w:p>
        </w:tc>
        <w:tc>
          <w:tcPr>
            <w:tcW w:w="346" w:type="dxa"/>
            <w:tcBorders/>
            <w:vAlign w:val="center"/>
          </w:tcPr>
          <w:p>
            <w:pPr>
              <w:pStyle w:val="TableContents"/>
              <w:bidi w:val="0"/>
              <w:spacing w:before="0" w:after="0"/>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 - as reported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680,184</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250,331</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930,515</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910</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910</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non-recurring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gross profit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681,094</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251,015</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932,109</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 - as reported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2,273,145</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792,697</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3,065,842</w:t>
            </w:r>
          </w:p>
        </w:tc>
      </w:tr>
      <w:tr>
        <w:trPr/>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986"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 as a % of 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w:t>
            </w:r>
          </w:p>
        </w:tc>
      </w:tr>
      <w:tr>
        <w:trPr/>
        <w:tc>
          <w:tcPr>
            <w:tcW w:w="298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gross profit as a % of net sales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30.4%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OF EFFECT OF SIGNIFICANT NON-RECURRING ITEMS ON REPORTED RESULTS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REGULATION G RECONCILIATION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8911" w:type="dxa"/>
        <w:jc w:val="left"/>
        <w:tblInd w:w="0" w:type="dxa"/>
        <w:tblLayout w:type="fixed"/>
        <w:tblCellMar>
          <w:top w:w="0" w:type="dxa"/>
          <w:left w:w="0" w:type="dxa"/>
          <w:bottom w:w="0" w:type="dxa"/>
          <w:right w:w="0" w:type="dxa"/>
        </w:tblCellMar>
      </w:tblPr>
      <w:tblGrid>
        <w:gridCol w:w="3826"/>
        <w:gridCol w:w="109"/>
        <w:gridCol w:w="262"/>
        <w:gridCol w:w="924"/>
        <w:gridCol w:w="346"/>
        <w:gridCol w:w="212"/>
        <w:gridCol w:w="749"/>
        <w:gridCol w:w="109"/>
        <w:gridCol w:w="196"/>
        <w:gridCol w:w="721"/>
        <w:gridCol w:w="346"/>
        <w:gridCol w:w="204"/>
        <w:gridCol w:w="907"/>
      </w:tblGrid>
      <w:tr>
        <w:trPr/>
        <w:tc>
          <w:tcPr>
            <w:tcW w:w="3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left"/>
              <w:rPr/>
            </w:pPr>
            <w:r>
              <w:rPr/>
              <w:t>​</w:t>
            </w:r>
          </w:p>
        </w:tc>
      </w:tr>
      <w:tr>
        <w:trPr/>
        <w:tc>
          <w:tcPr>
            <w:tcW w:w="3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497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 weeks ended September 27, 2025</w:t>
            </w:r>
          </w:p>
        </w:tc>
      </w:tr>
      <w:tr>
        <w:trPr/>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Income (Loss) Reconciliation</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Corporate</w:t>
            </w:r>
          </w:p>
        </w:tc>
        <w:tc>
          <w:tcPr>
            <w:tcW w:w="346" w:type="dxa"/>
            <w:tcBorders/>
            <w:vAlign w:val="center"/>
          </w:tcPr>
          <w:p>
            <w:pPr>
              <w:pStyle w:val="TableContents"/>
              <w:bidi w:val="0"/>
              <w:spacing w:before="0" w:after="0"/>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 - as reported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143,377</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23,189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(25,110)</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141,456</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operating income (loss)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143,377</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23,189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(25,110)</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141,456</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 - as reported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806,562</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239,418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1,045,980</w:t>
            </w:r>
          </w:p>
        </w:tc>
      </w:tr>
      <w:tr>
        <w:trPr/>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826"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 as a % of 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62"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w:t>
            </w:r>
          </w:p>
        </w:tc>
      </w:tr>
      <w:tr>
        <w:trPr/>
        <w:tc>
          <w:tcPr>
            <w:tcW w:w="382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operating income (loss) as a % of net sales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2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13.5%</w:t>
            </w:r>
          </w:p>
        </w:tc>
      </w:tr>
    </w:tbl>
    <w:p>
      <w:pPr>
        <w:pStyle w:val="TextBody"/>
        <w:bidi w:val="0"/>
        <w:spacing w:before="0" w:after="0"/>
        <w:ind w:left="0" w:right="0" w:hanging="0"/>
        <w:jc w:val="left"/>
        <w:rPr/>
      </w:pPr>
      <w:r>
        <w:rPr/>
        <w:t>​</w:t>
      </w:r>
    </w:p>
    <w:tbl>
      <w:tblPr>
        <w:tblW w:w="8911" w:type="dxa"/>
        <w:jc w:val="left"/>
        <w:tblInd w:w="0" w:type="dxa"/>
        <w:tblLayout w:type="fixed"/>
        <w:tblCellMar>
          <w:top w:w="0" w:type="dxa"/>
          <w:left w:w="0" w:type="dxa"/>
          <w:bottom w:w="0" w:type="dxa"/>
          <w:right w:w="0" w:type="dxa"/>
        </w:tblCellMar>
      </w:tblPr>
      <w:tblGrid>
        <w:gridCol w:w="3826"/>
        <w:gridCol w:w="109"/>
        <w:gridCol w:w="227"/>
        <w:gridCol w:w="959"/>
        <w:gridCol w:w="346"/>
        <w:gridCol w:w="212"/>
        <w:gridCol w:w="749"/>
        <w:gridCol w:w="109"/>
        <w:gridCol w:w="196"/>
        <w:gridCol w:w="721"/>
        <w:gridCol w:w="346"/>
        <w:gridCol w:w="204"/>
        <w:gridCol w:w="907"/>
      </w:tblGrid>
      <w:tr>
        <w:trPr/>
        <w:tc>
          <w:tcPr>
            <w:tcW w:w="3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left"/>
              <w:rPr/>
            </w:pPr>
            <w:r>
              <w:rPr/>
              <w:t>​</w:t>
            </w:r>
          </w:p>
        </w:tc>
      </w:tr>
      <w:tr>
        <w:trPr/>
        <w:tc>
          <w:tcPr>
            <w:tcW w:w="38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497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Thirty-nine weeks ended September 27, 2025</w:t>
            </w:r>
          </w:p>
        </w:tc>
      </w:tr>
      <w:tr>
        <w:trPr/>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Operating Income (Loss) Reconciliation</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Infrastructure</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Agriculture</w:t>
            </w:r>
          </w:p>
        </w:tc>
        <w:tc>
          <w:tcPr>
            <w:tcW w:w="109"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Corporate</w:t>
            </w:r>
          </w:p>
        </w:tc>
        <w:tc>
          <w:tcPr>
            <w:tcW w:w="346" w:type="dxa"/>
            <w:tcBorders/>
            <w:vAlign w:val="center"/>
          </w:tcPr>
          <w:p>
            <w:pPr>
              <w:pStyle w:val="TableContents"/>
              <w:bidi w:val="0"/>
              <w:spacing w:before="0" w:after="0"/>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Consolidated</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 - as reported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286,503</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95,477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(82,934)</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299,046</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89,356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91,337</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2,336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4,572</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9,794</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non-recurring charges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7,031</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3,918</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10,949</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operating income (loss)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385,226</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104,262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(78,362)</w:t>
            </w:r>
          </w:p>
        </w:tc>
        <w:tc>
          <w:tcPr>
            <w:tcW w:w="34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411,126</w:t>
            </w:r>
          </w:p>
        </w:tc>
      </w:tr>
      <w:tr>
        <w:trPr/>
        <w:tc>
          <w:tcPr>
            <w:tcW w:w="38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sales - as reported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2,273,145</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792,697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3,065,842</w:t>
            </w:r>
          </w:p>
        </w:tc>
      </w:tr>
      <w:tr>
        <w:trPr/>
        <w:tc>
          <w:tcPr>
            <w:tcW w:w="38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826" w:type="dxa"/>
            <w:tcBorders>
              <w:left w:val="single" w:sz="2" w:space="0" w:color="000000"/>
            </w:tcBorders>
            <w:tcMar>
              <w:lef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income (loss) as a % of net sales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27"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907"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r>
      <w:tr>
        <w:trPr/>
        <w:tc>
          <w:tcPr>
            <w:tcW w:w="3826"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operating income (loss) as a % of net sales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color w:val="FFFFFF"/>
              </w:rPr>
            </w:pPr>
            <w:r>
              <w:rPr>
                <w:color w:val="FFFFFF"/>
              </w:rPr>
              <w:t>​</w:t>
            </w:r>
          </w:p>
        </w:tc>
        <w:tc>
          <w:tcPr>
            <w:tcW w:w="2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7"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13.4%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OF EFFECT OF SIGNIFICANT NON-RECURRING ITEMS ON REPORTED RESULTS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REGULATION G RECONCILIATION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8627" w:type="dxa"/>
        <w:jc w:val="left"/>
        <w:tblInd w:w="0" w:type="dxa"/>
        <w:tblLayout w:type="fixed"/>
        <w:tblCellMar>
          <w:top w:w="0" w:type="dxa"/>
          <w:left w:w="0" w:type="dxa"/>
          <w:bottom w:w="0" w:type="dxa"/>
          <w:right w:w="0" w:type="dxa"/>
        </w:tblCellMar>
      </w:tblPr>
      <w:tblGrid>
        <w:gridCol w:w="3946"/>
        <w:gridCol w:w="109"/>
        <w:gridCol w:w="294"/>
        <w:gridCol w:w="906"/>
        <w:gridCol w:w="109"/>
        <w:gridCol w:w="221"/>
        <w:gridCol w:w="679"/>
        <w:gridCol w:w="109"/>
        <w:gridCol w:w="263"/>
        <w:gridCol w:w="937"/>
        <w:gridCol w:w="109"/>
        <w:gridCol w:w="205"/>
        <w:gridCol w:w="740"/>
      </w:tblGrid>
      <w:tr>
        <w:trPr/>
        <w:tc>
          <w:tcPr>
            <w:tcW w:w="3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Thirteen</w:t>
            </w:r>
          </w:p>
        </w:tc>
        <w:tc>
          <w:tcPr>
            <w:tcW w:w="109"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Thirty-nine</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left"/>
              <w:rPr/>
            </w:pPr>
            <w:r>
              <w:rPr/>
              <w:t>​</w:t>
            </w:r>
          </w:p>
        </w:tc>
      </w:tr>
      <w:tr>
        <w:trPr/>
        <w:tc>
          <w:tcPr>
            <w:tcW w:w="3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weeks ended</w:t>
            </w:r>
          </w:p>
        </w:tc>
        <w:tc>
          <w:tcPr>
            <w:tcW w:w="109"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Diluted</w:t>
            </w:r>
          </w:p>
        </w:tc>
        <w:tc>
          <w:tcPr>
            <w:tcW w:w="109" w:type="dxa"/>
            <w:tcBorders/>
            <w:vAlign w:val="center"/>
          </w:tcPr>
          <w:p>
            <w:pPr>
              <w:pStyle w:val="TableContents"/>
              <w:bidi w:val="0"/>
              <w:spacing w:before="0" w:after="0"/>
              <w:ind w:left="0" w:right="0" w:hanging="0"/>
              <w:jc w:val="left"/>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weeks ended</w:t>
            </w:r>
          </w:p>
        </w:tc>
        <w:tc>
          <w:tcPr>
            <w:tcW w:w="109"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Diluted</w:t>
            </w:r>
          </w:p>
        </w:tc>
      </w:tr>
      <w:tr>
        <w:trPr/>
        <w:tc>
          <w:tcPr>
            <w:tcW w:w="3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27,</w:t>
            </w:r>
          </w:p>
        </w:tc>
        <w:tc>
          <w:tcPr>
            <w:tcW w:w="109"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 xml:space="preserve">earnings </w:t>
            </w:r>
          </w:p>
        </w:tc>
        <w:tc>
          <w:tcPr>
            <w:tcW w:w="109" w:type="dxa"/>
            <w:tcBorders/>
            <w:vAlign w:val="center"/>
          </w:tcPr>
          <w:p>
            <w:pPr>
              <w:pStyle w:val="TableContents"/>
              <w:bidi w:val="0"/>
              <w:spacing w:before="0" w:after="0"/>
              <w:ind w:left="0" w:right="0" w:hanging="0"/>
              <w:jc w:val="left"/>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27,</w:t>
            </w:r>
          </w:p>
        </w:tc>
        <w:tc>
          <w:tcPr>
            <w:tcW w:w="109"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earnings</w:t>
            </w:r>
          </w:p>
        </w:tc>
      </w:tr>
      <w:tr>
        <w:trPr/>
        <w:tc>
          <w:tcPr>
            <w:tcW w:w="39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per share</w:t>
            </w:r>
            <w:r>
              <w:rPr>
                <w:rFonts w:ascii="Times New Roman;Times;serif" w:hAnsi="Times New Roman;Times;serif"/>
                <w:b/>
                <w:sz w:val="14"/>
              </w:rPr>
              <w:t>1</w:t>
            </w:r>
          </w:p>
        </w:tc>
        <w:tc>
          <w:tcPr>
            <w:tcW w:w="109" w:type="dxa"/>
            <w:tcBorders/>
            <w:vAlign w:val="center"/>
          </w:tcPr>
          <w:p>
            <w:pPr>
              <w:pStyle w:val="TableContents"/>
              <w:bidi w:val="0"/>
              <w:spacing w:before="0" w:after="0"/>
              <w:ind w:left="0" w:right="0" w:hanging="0"/>
              <w:jc w:val="left"/>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0"/>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per share</w:t>
            </w:r>
            <w:r>
              <w:rPr>
                <w:rFonts w:ascii="Times New Roman;Times;serif" w:hAnsi="Times New Roman;Times;serif"/>
                <w:b/>
                <w:sz w:val="14"/>
              </w:rPr>
              <w:t>1</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attributable to Valmont Industries,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94" w:type="dxa"/>
            <w:tcBorders/>
            <w:vAlign w:val="center"/>
          </w:tcPr>
          <w:p>
            <w:pPr>
              <w:pStyle w:val="TableContents"/>
              <w:bidi w:val="0"/>
              <w:spacing w:before="0" w:after="0"/>
              <w:ind w:left="0" w:right="0" w:hanging="0"/>
              <w:jc w:val="center"/>
              <w:rPr/>
            </w:pPr>
            <w:r>
              <w:rPr/>
              <w:t>​</w:t>
            </w:r>
          </w:p>
        </w:tc>
        <w:tc>
          <w:tcPr>
            <w:tcW w:w="9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center"/>
              <w:rPr/>
            </w:pPr>
            <w:r>
              <w:rPr/>
              <w:t>​</w:t>
            </w:r>
          </w:p>
        </w:tc>
        <w:tc>
          <w:tcPr>
            <w:tcW w:w="67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center"/>
              <w:rPr/>
            </w:pPr>
            <w:r>
              <w:rPr/>
              <w:t>​</w:t>
            </w:r>
          </w:p>
        </w:tc>
        <w:tc>
          <w:tcPr>
            <w:tcW w:w="93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center"/>
              <w:rPr/>
            </w:pPr>
            <w:r>
              <w:rPr/>
              <w:t>​</w:t>
            </w:r>
          </w:p>
        </w:tc>
        <w:tc>
          <w:tcPr>
            <w:tcW w:w="740" w:type="dxa"/>
            <w:tcBorders/>
            <w:vAlign w:val="center"/>
          </w:tcPr>
          <w:p>
            <w:pPr>
              <w:pStyle w:val="TableContents"/>
              <w:bidi w:val="0"/>
              <w:spacing w:before="0" w:after="0"/>
              <w:ind w:left="0" w:right="0" w:hanging="0"/>
              <w:jc w:val="center"/>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 including change in redemption value of</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94" w:type="dxa"/>
            <w:tcBorders/>
            <w:vAlign w:val="center"/>
          </w:tcPr>
          <w:p>
            <w:pPr>
              <w:pStyle w:val="TableContents"/>
              <w:bidi w:val="0"/>
              <w:spacing w:before="0" w:after="0"/>
              <w:ind w:left="0" w:right="0" w:hanging="0"/>
              <w:jc w:val="center"/>
              <w:rPr/>
            </w:pPr>
            <w:r>
              <w:rPr/>
              <w:t>​</w:t>
            </w:r>
          </w:p>
        </w:tc>
        <w:tc>
          <w:tcPr>
            <w:tcW w:w="90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center"/>
              <w:rPr/>
            </w:pPr>
            <w:r>
              <w:rPr/>
              <w:t>​</w:t>
            </w:r>
          </w:p>
        </w:tc>
        <w:tc>
          <w:tcPr>
            <w:tcW w:w="67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center"/>
              <w:rPr/>
            </w:pPr>
            <w:r>
              <w:rPr/>
              <w:t>​</w:t>
            </w:r>
          </w:p>
        </w:tc>
        <w:tc>
          <w:tcPr>
            <w:tcW w:w="93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center"/>
              <w:rPr/>
            </w:pPr>
            <w:r>
              <w:rPr/>
              <w:t>​</w:t>
            </w:r>
          </w:p>
        </w:tc>
        <w:tc>
          <w:tcPr>
            <w:tcW w:w="740" w:type="dxa"/>
            <w:tcBorders/>
            <w:vAlign w:val="center"/>
          </w:tcPr>
          <w:p>
            <w:pPr>
              <w:pStyle w:val="TableContents"/>
              <w:bidi w:val="0"/>
              <w:spacing w:before="0" w:after="0"/>
              <w:ind w:left="0" w:right="0" w:hanging="0"/>
              <w:jc w:val="center"/>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redeemable noncontrolling interests - as reported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9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99,031</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156,029</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7.80</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Change in redemption value of redeemable</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94"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right"/>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noncontrolling interests</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26,243</w:t>
            </w:r>
          </w:p>
        </w:tc>
        <w:tc>
          <w:tcPr>
            <w:tcW w:w="109" w:type="dxa"/>
            <w:tcBorders/>
            <w:vAlign w:val="center"/>
          </w:tcPr>
          <w:p>
            <w:pPr>
              <w:pStyle w:val="TableContents"/>
              <w:bidi w:val="0"/>
              <w:spacing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attributable to Valmont Industries, Inc.</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94"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99,031</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182,272</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9.11</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r>
              <w:rPr>
                <w:rFonts w:ascii="Times New Roman;Times;serif" w:hAnsi="Times New Roman;Times;serif"/>
                <w:sz w:val="14"/>
              </w:rPr>
              <w:t>3</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94"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91,337</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charges</w:t>
            </w:r>
            <w:r>
              <w:rPr>
                <w:rFonts w:ascii="Times New Roman;Times;serif" w:hAnsi="Times New Roman;Times;serif"/>
                <w:sz w:val="14"/>
              </w:rPr>
              <w:t>4</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94"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9,794</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0.49</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non-recurring charges</w:t>
            </w:r>
            <w:r>
              <w:rPr>
                <w:rFonts w:ascii="Times New Roman;Times;serif" w:hAnsi="Times New Roman;Times;serif"/>
                <w:sz w:val="14"/>
              </w:rPr>
              <w:t>5</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10,949</w:t>
            </w:r>
          </w:p>
        </w:tc>
        <w:tc>
          <w:tcPr>
            <w:tcW w:w="109" w:type="dxa"/>
            <w:tcBorders/>
            <w:vAlign w:val="center"/>
          </w:tcPr>
          <w:p>
            <w:pPr>
              <w:pStyle w:val="TableContents"/>
              <w:bidi w:val="0"/>
              <w:spacing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0.55</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adjustments, pre-tax</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94"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112,080</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5.60</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 effect of adjustments</w:t>
            </w:r>
            <w:r>
              <w:rPr>
                <w:rFonts w:ascii="Times New Roman;Times;serif" w:hAnsi="Times New Roman;Times;serif"/>
                <w:sz w:val="14"/>
              </w:rPr>
              <w:t>2</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(10,862)</w:t>
            </w:r>
          </w:p>
        </w:tc>
        <w:tc>
          <w:tcPr>
            <w:tcW w:w="109" w:type="dxa"/>
            <w:tcBorders/>
            <w:vAlign w:val="center"/>
          </w:tcPr>
          <w:p>
            <w:pPr>
              <w:pStyle w:val="TableContents"/>
              <w:bidi w:val="0"/>
              <w:spacing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(0.54)</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earnings attributable to Valmont Industries, Inc. - </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94"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right"/>
              <w:rPr/>
            </w:pPr>
            <w:r>
              <w:rPr/>
              <w:t>​</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99,031</w:t>
            </w:r>
          </w:p>
        </w:tc>
        <w:tc>
          <w:tcPr>
            <w:tcW w:w="109"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w:t>
            </w:r>
          </w:p>
        </w:tc>
        <w:tc>
          <w:tcPr>
            <w:tcW w:w="109"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283,490</w:t>
            </w:r>
          </w:p>
        </w:tc>
        <w:tc>
          <w:tcPr>
            <w:tcW w:w="109" w:type="dxa"/>
            <w:tcBorders/>
            <w:vAlign w:val="center"/>
          </w:tcPr>
          <w:p>
            <w:pPr>
              <w:pStyle w:val="TableContents"/>
              <w:bidi w:val="0"/>
              <w:spacing w:before="0" w:after="0"/>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14.17</w:t>
            </w:r>
          </w:p>
        </w:tc>
      </w:tr>
      <w:tr>
        <w:trPr/>
        <w:tc>
          <w:tcPr>
            <w:tcW w:w="3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Average shares outstanding - diluted</w:t>
            </w:r>
          </w:p>
        </w:tc>
        <w:tc>
          <w:tcPr>
            <w:tcW w:w="109" w:type="dxa"/>
            <w:tcBorders/>
            <w:vAlign w:val="center"/>
          </w:tcPr>
          <w:p>
            <w:pPr>
              <w:pStyle w:val="TableContents"/>
              <w:bidi w:val="0"/>
              <w:spacing w:before="0" w:after="0"/>
              <w:ind w:left="0" w:right="0" w:hanging="0"/>
              <w:jc w:val="left"/>
              <w:rPr>
                <w:color w:val="FFFFFF"/>
              </w:rPr>
            </w:pPr>
            <w:r>
              <w:rPr>
                <w:color w:val="FFFFFF"/>
              </w:rPr>
              <w:t>​</w:t>
            </w:r>
          </w:p>
        </w:tc>
        <w:tc>
          <w:tcPr>
            <w:tcW w:w="294"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67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19,876</w:t>
            </w:r>
          </w:p>
        </w:tc>
        <w:tc>
          <w:tcPr>
            <w:tcW w:w="109"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20,001</w:t>
            </w:r>
          </w:p>
        </w:tc>
      </w:tr>
    </w:tbl>
    <w:p>
      <w:pPr>
        <w:pStyle w:val="TextBody"/>
        <w:bidi w:val="0"/>
        <w:spacing w:before="0" w:after="120"/>
        <w:ind w:left="0" w:right="0" w:hanging="0"/>
        <w:jc w:val="left"/>
        <w:rPr/>
      </w:pPr>
      <w:r>
        <w:rPr/>
        <w:t>​</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Diluted earnings per share includes rounding.</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The tax effect of adjustments is calculated based on the income tax rate in each applicable jurisdiction.</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4"/>
        </w:rPr>
        <w:t>3</w:t>
      </w:r>
      <w:r>
        <w:rPr>
          <w:rFonts w:ascii="Times New Roman;Times;serif" w:hAnsi="Times New Roman;Times;serif"/>
          <w:sz w:val="18"/>
        </w:rPr>
        <w:t>The Company recorded non-cash impairment charges of $71.1 million for goodwill and certain intangible assets in the Solar and Access Systems businesses and recorded $20.2 million for other long-lived assets that will no longer be utilized.</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4"/>
        </w:rPr>
        <w:t>4</w:t>
      </w:r>
      <w:r>
        <w:rPr>
          <w:rFonts w:ascii="Times New Roman;Times;serif" w:hAnsi="Times New Roman;Times;serif"/>
          <w:sz w:val="18"/>
        </w:rPr>
        <w:t>The Company took realignment actions resulting in pre-tax charges of $9.8 million, primarily severance-related.</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4"/>
        </w:rPr>
        <w:t>5</w:t>
      </w:r>
      <w:r>
        <w:rPr>
          <w:rFonts w:ascii="Times New Roman;Times;serif" w:hAnsi="Times New Roman;Times;serif"/>
          <w:sz w:val="18"/>
        </w:rPr>
        <w:t>Other non-recurring charges consist of costs to fulfill contractually required payments for system licenses no longer needed and asset valuation adjustments for a joint venture ag solar business.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28" w:before="0" w:after="0"/>
        <w:ind w:left="72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REGULATION G RECONCILIATION OF ADJUSTED EBITDA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6080" w:type="dxa"/>
        <w:jc w:val="left"/>
        <w:tblInd w:w="0" w:type="dxa"/>
        <w:tblLayout w:type="fixed"/>
        <w:tblCellMar>
          <w:top w:w="0" w:type="dxa"/>
          <w:left w:w="0" w:type="dxa"/>
          <w:bottom w:w="0" w:type="dxa"/>
          <w:right w:w="0" w:type="dxa"/>
        </w:tblCellMar>
      </w:tblPr>
      <w:tblGrid>
        <w:gridCol w:w="3796"/>
        <w:gridCol w:w="109"/>
        <w:gridCol w:w="429"/>
        <w:gridCol w:w="1746"/>
      </w:tblGrid>
      <w:tr>
        <w:trPr/>
        <w:tc>
          <w:tcPr>
            <w:tcW w:w="3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Four fiscal quarters ended</w:t>
            </w:r>
          </w:p>
        </w:tc>
      </w:tr>
      <w:tr>
        <w:trPr/>
        <w:tc>
          <w:tcPr>
            <w:tcW w:w="3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26,</w:t>
            </w:r>
          </w:p>
        </w:tc>
      </w:tr>
      <w:tr>
        <w:trPr/>
        <w:tc>
          <w:tcPr>
            <w:tcW w:w="3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flows from operating activities</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463,316</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38,293</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61,286</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(9,629)</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(4,458)</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Redeemable noncontrolling interests</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(1,929)</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periodic pension cost</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(3,481)</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Contribution to defined benefit pension plan</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890</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assets and liabilities</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191,076</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net</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(255)</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9,629</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activities</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6,272</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 forma acquisition adjustment</w:t>
            </w:r>
          </w:p>
        </w:tc>
        <w:tc>
          <w:tcPr>
            <w:tcW w:w="109" w:type="dxa"/>
            <w:tcBorders/>
            <w:vAlign w:val="center"/>
          </w:tcPr>
          <w:p>
            <w:pPr>
              <w:pStyle w:val="TableContents"/>
              <w:bidi w:val="0"/>
              <w:spacing w:before="0" w:after="0"/>
              <w:ind w:left="0" w:right="0" w:hanging="0"/>
              <w:jc w:val="left"/>
              <w:rPr/>
            </w:pPr>
            <w:r>
              <w:rPr/>
              <w:t>​</w:t>
            </w:r>
          </w:p>
        </w:tc>
        <w:tc>
          <w:tcPr>
            <w:tcW w:w="4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2,030</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109" w:type="dxa"/>
            <w:tcBorders/>
            <w:vAlign w:val="center"/>
          </w:tcPr>
          <w:p>
            <w:pPr>
              <w:pStyle w:val="TableContents"/>
              <w:bidi w:val="0"/>
              <w:spacing w:before="0" w:after="0"/>
              <w:ind w:left="0" w:right="0" w:hanging="0"/>
              <w:jc w:val="left"/>
              <w:rPr/>
            </w:pPr>
            <w:r>
              <w:rPr/>
              <w:t>​</w:t>
            </w:r>
          </w:p>
        </w:tc>
        <w:tc>
          <w:tcPr>
            <w:tcW w:w="4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753,040</w:t>
            </w:r>
          </w:p>
        </w:tc>
      </w:tr>
      <w:tr>
        <w:trPr/>
        <w:tc>
          <w:tcPr>
            <w:tcW w:w="37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center"/>
              <w:rPr/>
            </w:pPr>
            <w:r>
              <w:rPr/>
              <w:t>​</w:t>
            </w:r>
          </w:p>
        </w:tc>
        <w:tc>
          <w:tcPr>
            <w:tcW w:w="1746" w:type="dxa"/>
            <w:tcBorders/>
            <w:vAlign w:val="center"/>
          </w:tcPr>
          <w:p>
            <w:pPr>
              <w:pStyle w:val="TableContents"/>
              <w:bidi w:val="0"/>
              <w:spacing w:before="0" w:after="0"/>
              <w:ind w:left="0" w:right="0" w:hanging="0"/>
              <w:jc w:val="center"/>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earnings attributable to Valmont Industries, Inc.</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517,005</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 </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38,293</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 </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61,286</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 </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95,940</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 </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22,585</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long-lived assets</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 </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9,629</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Realignment activities</w:t>
            </w:r>
          </w:p>
        </w:tc>
        <w:tc>
          <w:tcPr>
            <w:tcW w:w="109"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74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6,272</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 forma acquisition adjustment</w:t>
            </w:r>
          </w:p>
        </w:tc>
        <w:tc>
          <w:tcPr>
            <w:tcW w:w="109" w:type="dxa"/>
            <w:tcBorders/>
            <w:vAlign w:val="center"/>
          </w:tcPr>
          <w:p>
            <w:pPr>
              <w:pStyle w:val="TableContents"/>
              <w:bidi w:val="0"/>
              <w:spacing w:before="0" w:after="0"/>
              <w:ind w:left="0" w:right="0" w:hanging="0"/>
              <w:jc w:val="left"/>
              <w:rPr/>
            </w:pPr>
            <w:r>
              <w:rPr/>
              <w:t>​</w:t>
            </w:r>
          </w:p>
        </w:tc>
        <w:tc>
          <w:tcPr>
            <w:tcW w:w="4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2,030</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109" w:type="dxa"/>
            <w:tcBorders/>
            <w:vAlign w:val="center"/>
          </w:tcPr>
          <w:p>
            <w:pPr>
              <w:pStyle w:val="TableContents"/>
              <w:bidi w:val="0"/>
              <w:spacing w:before="0" w:after="0"/>
              <w:ind w:left="0" w:right="0" w:hanging="0"/>
              <w:jc w:val="left"/>
              <w:rPr/>
            </w:pPr>
            <w:r>
              <w:rPr/>
              <w:t>​</w:t>
            </w:r>
          </w:p>
        </w:tc>
        <w:tc>
          <w:tcPr>
            <w:tcW w:w="4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7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753,040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REGULATION G RECONCILIATION OF LEVERAGE RATIO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6932" w:type="dxa"/>
        <w:jc w:val="left"/>
        <w:tblInd w:w="0" w:type="dxa"/>
        <w:tblLayout w:type="fixed"/>
        <w:tblCellMar>
          <w:top w:w="0" w:type="dxa"/>
          <w:left w:w="0" w:type="dxa"/>
          <w:bottom w:w="0" w:type="dxa"/>
          <w:right w:w="0" w:type="dxa"/>
        </w:tblCellMar>
      </w:tblPr>
      <w:tblGrid>
        <w:gridCol w:w="5341"/>
        <w:gridCol w:w="346"/>
        <w:gridCol w:w="261"/>
        <w:gridCol w:w="984"/>
      </w:tblGrid>
      <w:tr>
        <w:trPr/>
        <w:tc>
          <w:tcPr>
            <w:tcW w:w="5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11"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0"/>
              <w:ind w:left="0" w:right="0" w:hanging="0"/>
              <w:jc w:val="left"/>
              <w:rPr/>
            </w:pPr>
            <w:r>
              <w:rPr/>
              <w:t>​</w:t>
            </w:r>
          </w:p>
        </w:tc>
        <w:tc>
          <w:tcPr>
            <w:tcW w:w="984" w:type="dxa"/>
            <w:tcBorders/>
            <w:vAlign w:val="center"/>
          </w:tcPr>
          <w:p>
            <w:pPr>
              <w:pStyle w:val="TableContents"/>
              <w:bidi w:val="0"/>
              <w:spacing w:before="0" w:after="0"/>
              <w:ind w:left="0" w:right="0" w:hanging="0"/>
              <w:jc w:val="left"/>
              <w:rPr/>
            </w:pPr>
            <w:r>
              <w:rPr/>
              <w:t>​</w:t>
            </w:r>
          </w:p>
        </w:tc>
      </w:tr>
      <w:tr>
        <w:trPr/>
        <w:tc>
          <w:tcPr>
            <w:tcW w:w="53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4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26,</w:t>
            </w:r>
          </w:p>
        </w:tc>
      </w:tr>
      <w:tr>
        <w:trPr/>
        <w:tc>
          <w:tcPr>
            <w:tcW w:w="5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Interest-bearing debt, excluding origination fees and discounts of $24,335</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780,628</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Less: Cash and cash equivalents in excess of $50,000</w:t>
            </w:r>
          </w:p>
        </w:tc>
        <w:tc>
          <w:tcPr>
            <w:tcW w:w="34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72,045</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indebtedness</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708,583</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Adjusted EBITDA</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753,040</w:t>
            </w:r>
          </w:p>
        </w:tc>
      </w:tr>
      <w:tr>
        <w:trPr/>
        <w:tc>
          <w:tcPr>
            <w:tcW w:w="53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Leverage ratio</w:t>
            </w:r>
          </w:p>
        </w:tc>
        <w:tc>
          <w:tcPr>
            <w:tcW w:w="34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0.94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28" w:before="0" w:after="0"/>
        <w:ind w:left="72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VALMONT INDUSTRIES,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BACKLOG</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millions)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4158" w:type="dxa"/>
        <w:jc w:val="left"/>
        <w:tblInd w:w="0" w:type="dxa"/>
        <w:tblLayout w:type="fixed"/>
        <w:tblCellMar>
          <w:top w:w="0" w:type="dxa"/>
          <w:left w:w="0" w:type="dxa"/>
          <w:bottom w:w="0" w:type="dxa"/>
          <w:right w:w="0" w:type="dxa"/>
        </w:tblCellMar>
      </w:tblPr>
      <w:tblGrid>
        <w:gridCol w:w="1081"/>
        <w:gridCol w:w="346"/>
        <w:gridCol w:w="278"/>
        <w:gridCol w:w="922"/>
        <w:gridCol w:w="346"/>
        <w:gridCol w:w="245"/>
        <w:gridCol w:w="940"/>
      </w:tblGrid>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9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940"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September 26,</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27,</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Infrastructure</w:t>
            </w:r>
          </w:p>
        </w:tc>
        <w:tc>
          <w:tcPr>
            <w:tcW w:w="34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1,808.2</w:t>
            </w:r>
          </w:p>
        </w:tc>
        <w:tc>
          <w:tcPr>
            <w:tcW w:w="3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1,548.3</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Agriculture</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199.6</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105.4</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backlog</w:t>
            </w:r>
          </w:p>
        </w:tc>
        <w:tc>
          <w:tcPr>
            <w:tcW w:w="346" w:type="dxa"/>
            <w:tcBorders/>
            <w:vAlign w:val="center"/>
          </w:tcPr>
          <w:p>
            <w:pPr>
              <w:pStyle w:val="TableContents"/>
              <w:bidi w:val="0"/>
              <w:spacing w:before="0" w:after="0"/>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2,007.8</w:t>
            </w:r>
          </w:p>
        </w:tc>
        <w:tc>
          <w:tcPr>
            <w:tcW w:w="346"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4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1,653.7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4930</Words>
  <Characters>29374</Characters>
  <CharactersWithSpaces>35472</CharactersWithSpaces>
  <Paragraphs>3609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